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D415F" w14:textId="77777777" w:rsidR="00002ACC" w:rsidRPr="00131399" w:rsidRDefault="00002ACC" w:rsidP="00131399">
      <w:pPr>
        <w:jc w:val="center"/>
        <w:rPr>
          <w:rFonts w:ascii="Arial" w:hAnsi="Arial" w:cs="Arial"/>
          <w:b/>
          <w:color w:val="21409A"/>
          <w:sz w:val="28"/>
          <w:szCs w:val="20"/>
          <w:u w:val="single"/>
          <w:lang w:val="en-GB"/>
        </w:rPr>
      </w:pPr>
      <w:bookmarkStart w:id="0" w:name="_GoBack"/>
      <w:bookmarkEnd w:id="0"/>
      <w:r w:rsidRPr="00131399">
        <w:rPr>
          <w:rFonts w:ascii="Arial" w:hAnsi="Arial" w:cs="Arial"/>
          <w:b/>
          <w:color w:val="21409A"/>
          <w:sz w:val="28"/>
          <w:szCs w:val="20"/>
          <w:u w:val="single"/>
          <w:lang w:val="en-GB"/>
        </w:rPr>
        <w:t>PFT Working Group’s preliminary views on the list of potential regulatory aspects of 5G, which could merit from further investigation by BEREC</w:t>
      </w:r>
    </w:p>
    <w:p w14:paraId="7B31C255" w14:textId="77777777" w:rsidR="00002ACC" w:rsidRPr="00131399" w:rsidRDefault="00002ACC" w:rsidP="00002ACC">
      <w:pPr>
        <w:rPr>
          <w:rFonts w:ascii="Arial" w:hAnsi="Arial" w:cs="Arial"/>
          <w:sz w:val="20"/>
          <w:szCs w:val="20"/>
          <w:lang w:val="en-GB"/>
        </w:rPr>
      </w:pPr>
      <w:r w:rsidRPr="00131399">
        <w:rPr>
          <w:rFonts w:ascii="Arial" w:hAnsi="Arial" w:cs="Arial"/>
          <w:sz w:val="20"/>
          <w:szCs w:val="20"/>
          <w:lang w:val="en-GB"/>
        </w:rPr>
        <w:t xml:space="preserve">The Commission, BEREC and other stakeholders consider 5G as an enabler of improvements in three generic classes of services, namely: enhanced Mobile Broadband, Massive Machine Type Communications, and Ultra-reliable and Low Latency Communications. </w:t>
      </w:r>
    </w:p>
    <w:p w14:paraId="3EF93B94" w14:textId="77777777" w:rsidR="00002ACC" w:rsidRPr="00131399" w:rsidRDefault="00002ACC" w:rsidP="00002ACC">
      <w:pPr>
        <w:rPr>
          <w:rFonts w:ascii="Arial" w:hAnsi="Arial" w:cs="Arial"/>
          <w:sz w:val="20"/>
          <w:szCs w:val="20"/>
          <w:lang w:val="en-GB"/>
        </w:rPr>
      </w:pPr>
      <w:r w:rsidRPr="00131399">
        <w:rPr>
          <w:rFonts w:ascii="Arial" w:hAnsi="Arial" w:cs="Arial"/>
          <w:sz w:val="20"/>
          <w:szCs w:val="20"/>
          <w:lang w:val="en-GB"/>
        </w:rPr>
        <w:t xml:space="preserve">The below table sets out a draft list of some items which could be studied further </w:t>
      </w:r>
      <w:proofErr w:type="gramStart"/>
      <w:r w:rsidRPr="00131399">
        <w:rPr>
          <w:rFonts w:ascii="Arial" w:hAnsi="Arial" w:cs="Arial"/>
          <w:sz w:val="20"/>
          <w:szCs w:val="20"/>
          <w:lang w:val="en-GB"/>
        </w:rPr>
        <w:t>in order to</w:t>
      </w:r>
      <w:proofErr w:type="gramEnd"/>
      <w:r w:rsidRPr="00131399">
        <w:rPr>
          <w:rFonts w:ascii="Arial" w:hAnsi="Arial" w:cs="Arial"/>
          <w:sz w:val="20"/>
          <w:szCs w:val="20"/>
          <w:lang w:val="en-GB"/>
        </w:rPr>
        <w:t xml:space="preserve"> assist BEREC to enable 5G.  The </w:t>
      </w:r>
      <w:proofErr w:type="gramStart"/>
      <w:r w:rsidRPr="00131399">
        <w:rPr>
          <w:rFonts w:ascii="Arial" w:hAnsi="Arial" w:cs="Arial"/>
          <w:sz w:val="20"/>
          <w:szCs w:val="20"/>
          <w:lang w:val="en-GB"/>
        </w:rPr>
        <w:t>high level</w:t>
      </w:r>
      <w:proofErr w:type="gramEnd"/>
      <w:r w:rsidRPr="00131399">
        <w:rPr>
          <w:rFonts w:ascii="Arial" w:hAnsi="Arial" w:cs="Arial"/>
          <w:sz w:val="20"/>
          <w:szCs w:val="20"/>
          <w:lang w:val="en-GB"/>
        </w:rPr>
        <w:t xml:space="preserve"> table also sets out an example of why 5G could impact the proposed item(s), thus indicating why it might be useful to conduct further study.  Please also refer to the cover letter for details how to respond to PFT’s early call for input.</w:t>
      </w:r>
    </w:p>
    <w:tbl>
      <w:tblPr>
        <w:tblStyle w:val="TableGrid"/>
        <w:tblW w:w="14596" w:type="dxa"/>
        <w:tblLayout w:type="fixed"/>
        <w:tblLook w:val="04A0" w:firstRow="1" w:lastRow="0" w:firstColumn="1" w:lastColumn="0" w:noHBand="0" w:noVBand="1"/>
      </w:tblPr>
      <w:tblGrid>
        <w:gridCol w:w="534"/>
        <w:gridCol w:w="33"/>
        <w:gridCol w:w="1701"/>
        <w:gridCol w:w="4536"/>
        <w:gridCol w:w="4111"/>
        <w:gridCol w:w="3652"/>
        <w:gridCol w:w="29"/>
      </w:tblGrid>
      <w:tr w:rsidR="005B30D8" w:rsidRPr="00116448" w14:paraId="742FD7F0" w14:textId="77777777" w:rsidTr="00EF3F16">
        <w:tc>
          <w:tcPr>
            <w:tcW w:w="14596" w:type="dxa"/>
            <w:gridSpan w:val="7"/>
          </w:tcPr>
          <w:p w14:paraId="27C964E1" w14:textId="139745C3" w:rsidR="005B30D8" w:rsidRPr="00131399" w:rsidRDefault="005E481D" w:rsidP="005B30D8">
            <w:pPr>
              <w:rPr>
                <w:rFonts w:ascii="Arial" w:hAnsi="Arial" w:cs="Arial"/>
                <w:b/>
                <w:sz w:val="20"/>
                <w:szCs w:val="20"/>
                <w:lang w:val="en-GB"/>
              </w:rPr>
            </w:pPr>
            <w:r w:rsidRPr="00131399">
              <w:rPr>
                <w:rFonts w:ascii="Arial" w:hAnsi="Arial" w:cs="Arial"/>
                <w:b/>
                <w:sz w:val="20"/>
                <w:szCs w:val="20"/>
                <w:lang w:val="en-GB"/>
              </w:rPr>
              <w:t xml:space="preserve">Enhanced Mobile </w:t>
            </w:r>
            <w:proofErr w:type="gramStart"/>
            <w:r w:rsidRPr="00131399">
              <w:rPr>
                <w:rFonts w:ascii="Arial" w:hAnsi="Arial" w:cs="Arial"/>
                <w:b/>
                <w:sz w:val="20"/>
                <w:szCs w:val="20"/>
                <w:lang w:val="en-GB"/>
              </w:rPr>
              <w:t xml:space="preserve">Broadband </w:t>
            </w:r>
            <w:r w:rsidRPr="00131399" w:rsidDel="005E481D">
              <w:rPr>
                <w:rFonts w:ascii="Arial" w:hAnsi="Arial" w:cs="Arial"/>
                <w:b/>
                <w:sz w:val="20"/>
                <w:szCs w:val="20"/>
                <w:lang w:val="en-GB"/>
              </w:rPr>
              <w:t xml:space="preserve"> </w:t>
            </w:r>
            <w:r w:rsidR="005B30D8" w:rsidRPr="00131399">
              <w:rPr>
                <w:rFonts w:ascii="Arial" w:hAnsi="Arial" w:cs="Arial"/>
                <w:b/>
                <w:sz w:val="20"/>
                <w:szCs w:val="20"/>
                <w:lang w:val="en-GB"/>
              </w:rPr>
              <w:t>(</w:t>
            </w:r>
            <w:proofErr w:type="gramEnd"/>
            <w:r w:rsidR="005B30D8" w:rsidRPr="00131399">
              <w:rPr>
                <w:rFonts w:ascii="Arial" w:hAnsi="Arial" w:cs="Arial"/>
                <w:b/>
                <w:sz w:val="20"/>
                <w:szCs w:val="20"/>
                <w:lang w:val="en-GB"/>
              </w:rPr>
              <w:t>focus: End-user perspective)</w:t>
            </w:r>
          </w:p>
        </w:tc>
      </w:tr>
      <w:tr w:rsidR="005B30D8" w:rsidRPr="00116448" w14:paraId="73E42367" w14:textId="77777777" w:rsidTr="005B30D8">
        <w:trPr>
          <w:gridAfter w:val="1"/>
          <w:wAfter w:w="29" w:type="dxa"/>
        </w:trPr>
        <w:tc>
          <w:tcPr>
            <w:tcW w:w="567" w:type="dxa"/>
            <w:gridSpan w:val="2"/>
          </w:tcPr>
          <w:p w14:paraId="1F59FEAD" w14:textId="77777777" w:rsidR="005B30D8" w:rsidRPr="00131399" w:rsidRDefault="005B30D8" w:rsidP="00BC0E65">
            <w:pPr>
              <w:rPr>
                <w:rFonts w:ascii="Arial" w:hAnsi="Arial" w:cs="Arial"/>
                <w:b/>
                <w:sz w:val="20"/>
                <w:szCs w:val="20"/>
                <w:lang w:val="en-GB"/>
              </w:rPr>
            </w:pPr>
          </w:p>
        </w:tc>
        <w:tc>
          <w:tcPr>
            <w:tcW w:w="1701" w:type="dxa"/>
          </w:tcPr>
          <w:p w14:paraId="5A8BED37" w14:textId="77777777" w:rsidR="005B30D8" w:rsidRPr="00131399" w:rsidRDefault="005B30D8" w:rsidP="00BC0E65">
            <w:pPr>
              <w:rPr>
                <w:rFonts w:ascii="Arial" w:hAnsi="Arial" w:cs="Arial"/>
                <w:b/>
                <w:sz w:val="20"/>
                <w:szCs w:val="20"/>
                <w:lang w:val="en-GB"/>
              </w:rPr>
            </w:pPr>
            <w:r w:rsidRPr="00131399">
              <w:rPr>
                <w:rFonts w:ascii="Arial" w:hAnsi="Arial" w:cs="Arial"/>
                <w:b/>
                <w:sz w:val="20"/>
                <w:szCs w:val="20"/>
                <w:lang w:val="en-GB"/>
              </w:rPr>
              <w:t>Draft list (some items identified)</w:t>
            </w:r>
          </w:p>
        </w:tc>
        <w:tc>
          <w:tcPr>
            <w:tcW w:w="4536" w:type="dxa"/>
          </w:tcPr>
          <w:p w14:paraId="451843ED" w14:textId="77777777" w:rsidR="005B30D8" w:rsidRPr="00131399" w:rsidRDefault="005B30D8" w:rsidP="00BC0E65">
            <w:pPr>
              <w:rPr>
                <w:rFonts w:ascii="Arial" w:hAnsi="Arial" w:cs="Arial"/>
                <w:b/>
                <w:sz w:val="20"/>
                <w:szCs w:val="20"/>
                <w:lang w:val="en-GB"/>
              </w:rPr>
            </w:pPr>
            <w:r w:rsidRPr="00131399">
              <w:rPr>
                <w:rFonts w:ascii="Arial" w:hAnsi="Arial" w:cs="Arial"/>
                <w:b/>
                <w:sz w:val="20"/>
                <w:szCs w:val="20"/>
                <w:lang w:val="en-GB"/>
              </w:rPr>
              <w:t xml:space="preserve">An example of why 5G could impact this?  (please note we would intend to consider ‘how’ 5G might impact in more detail in due course) </w:t>
            </w:r>
          </w:p>
        </w:tc>
        <w:tc>
          <w:tcPr>
            <w:tcW w:w="4111" w:type="dxa"/>
          </w:tcPr>
          <w:p w14:paraId="4EF2B8FB" w14:textId="77777777" w:rsidR="005B30D8" w:rsidRPr="00131399" w:rsidRDefault="005B30D8" w:rsidP="00BC0E65">
            <w:pPr>
              <w:rPr>
                <w:rFonts w:ascii="Arial" w:hAnsi="Arial" w:cs="Arial"/>
                <w:b/>
                <w:sz w:val="20"/>
                <w:szCs w:val="20"/>
                <w:lang w:val="en-GB"/>
              </w:rPr>
            </w:pPr>
            <w:r w:rsidRPr="00131399">
              <w:rPr>
                <w:rFonts w:ascii="Arial" w:hAnsi="Arial" w:cs="Arial"/>
                <w:b/>
                <w:sz w:val="20"/>
                <w:szCs w:val="20"/>
                <w:lang w:val="en-GB"/>
              </w:rPr>
              <w:t xml:space="preserve">Possible enquiry area (please provide views) </w:t>
            </w:r>
          </w:p>
        </w:tc>
        <w:tc>
          <w:tcPr>
            <w:tcW w:w="3652" w:type="dxa"/>
          </w:tcPr>
          <w:p w14:paraId="50AF65E0" w14:textId="77777777" w:rsidR="005B30D8" w:rsidRPr="00131399" w:rsidRDefault="005B30D8" w:rsidP="00BC0E65">
            <w:pPr>
              <w:rPr>
                <w:rFonts w:ascii="Arial" w:hAnsi="Arial" w:cs="Arial"/>
                <w:b/>
                <w:sz w:val="20"/>
                <w:szCs w:val="20"/>
                <w:lang w:val="en-GB"/>
              </w:rPr>
            </w:pPr>
            <w:r w:rsidRPr="00131399">
              <w:rPr>
                <w:rFonts w:ascii="Arial" w:hAnsi="Arial" w:cs="Arial"/>
                <w:b/>
                <w:sz w:val="20"/>
                <w:szCs w:val="20"/>
                <w:lang w:val="en-GB"/>
              </w:rPr>
              <w:t xml:space="preserve">What information may be available to us? </w:t>
            </w:r>
          </w:p>
        </w:tc>
      </w:tr>
      <w:tr w:rsidR="005B30D8" w:rsidRPr="00116448" w14:paraId="4AB034E8" w14:textId="77777777" w:rsidTr="005B30D8">
        <w:trPr>
          <w:gridAfter w:val="1"/>
          <w:wAfter w:w="29" w:type="dxa"/>
        </w:trPr>
        <w:tc>
          <w:tcPr>
            <w:tcW w:w="567" w:type="dxa"/>
            <w:gridSpan w:val="2"/>
          </w:tcPr>
          <w:p w14:paraId="61A593E1"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1</w:t>
            </w:r>
          </w:p>
        </w:tc>
        <w:tc>
          <w:tcPr>
            <w:tcW w:w="1701" w:type="dxa"/>
          </w:tcPr>
          <w:p w14:paraId="28270FCF"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Privacy</w:t>
            </w:r>
          </w:p>
        </w:tc>
        <w:tc>
          <w:tcPr>
            <w:tcW w:w="4536" w:type="dxa"/>
          </w:tcPr>
          <w:p w14:paraId="7D962F58" w14:textId="3F904459"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Gigabit speeds </w:t>
            </w:r>
            <w:r w:rsidR="006B64F2" w:rsidRPr="00131399">
              <w:rPr>
                <w:rFonts w:ascii="Arial" w:hAnsi="Arial" w:cs="Arial"/>
                <w:sz w:val="20"/>
                <w:szCs w:val="20"/>
                <w:lang w:val="en-GB"/>
              </w:rPr>
              <w:t xml:space="preserve">and other enhanced capabilities </w:t>
            </w:r>
            <w:r w:rsidRPr="00131399">
              <w:rPr>
                <w:rFonts w:ascii="Arial" w:hAnsi="Arial" w:cs="Arial"/>
                <w:sz w:val="20"/>
                <w:szCs w:val="20"/>
                <w:lang w:val="en-GB"/>
              </w:rPr>
              <w:t xml:space="preserve">may increase </w:t>
            </w:r>
            <w:proofErr w:type="gramStart"/>
            <w:r w:rsidRPr="00131399">
              <w:rPr>
                <w:rFonts w:ascii="Arial" w:hAnsi="Arial" w:cs="Arial"/>
                <w:sz w:val="20"/>
                <w:szCs w:val="20"/>
                <w:lang w:val="en-GB"/>
              </w:rPr>
              <w:t>users</w:t>
            </w:r>
            <w:proofErr w:type="gramEnd"/>
            <w:r w:rsidRPr="00131399">
              <w:rPr>
                <w:rFonts w:ascii="Arial" w:hAnsi="Arial" w:cs="Arial"/>
                <w:sz w:val="20"/>
                <w:szCs w:val="20"/>
                <w:lang w:val="en-GB"/>
              </w:rPr>
              <w:t xml:space="preserve"> ability to </w:t>
            </w:r>
            <w:r w:rsidR="005E481D" w:rsidRPr="00131399">
              <w:rPr>
                <w:rFonts w:ascii="Arial" w:hAnsi="Arial" w:cs="Arial"/>
                <w:sz w:val="20"/>
                <w:szCs w:val="20"/>
                <w:lang w:val="en-GB"/>
              </w:rPr>
              <w:t xml:space="preserve">generate </w:t>
            </w:r>
            <w:r w:rsidR="00FA469A" w:rsidRPr="00131399">
              <w:rPr>
                <w:rFonts w:ascii="Arial" w:hAnsi="Arial" w:cs="Arial"/>
                <w:sz w:val="20"/>
                <w:szCs w:val="20"/>
                <w:lang w:val="en-GB"/>
              </w:rPr>
              <w:t xml:space="preserve">or disseminate </w:t>
            </w:r>
            <w:r w:rsidRPr="00131399">
              <w:rPr>
                <w:rFonts w:ascii="Arial" w:hAnsi="Arial" w:cs="Arial"/>
                <w:sz w:val="20"/>
                <w:szCs w:val="20"/>
                <w:lang w:val="en-GB"/>
              </w:rPr>
              <w:t xml:space="preserve">private information and to generate more private information on the web </w:t>
            </w:r>
          </w:p>
        </w:tc>
        <w:tc>
          <w:tcPr>
            <w:tcW w:w="4111" w:type="dxa"/>
          </w:tcPr>
          <w:p w14:paraId="744A72E3"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Study to examine end-users understanding of the impact of their internet usage and sharing their private information in terms of the data economy?</w:t>
            </w:r>
          </w:p>
          <w:p w14:paraId="05A33730" w14:textId="2A5F582C" w:rsidR="00BA5744" w:rsidRPr="00131399" w:rsidRDefault="00BA5744" w:rsidP="00BA5744">
            <w:pPr>
              <w:rPr>
                <w:rFonts w:ascii="Arial" w:hAnsi="Arial" w:cs="Arial"/>
                <w:sz w:val="20"/>
                <w:szCs w:val="20"/>
                <w:lang w:val="en-GB"/>
              </w:rPr>
            </w:pPr>
            <w:r w:rsidRPr="00131399">
              <w:rPr>
                <w:rFonts w:ascii="Arial" w:hAnsi="Arial" w:cs="Arial"/>
                <w:sz w:val="20"/>
                <w:szCs w:val="20"/>
                <w:lang w:val="en-GB"/>
              </w:rPr>
              <w:t>Analyse of a common policy for data portability in the context of GDPR and data economy reports.</w:t>
            </w:r>
          </w:p>
        </w:tc>
        <w:tc>
          <w:tcPr>
            <w:tcW w:w="3652" w:type="dxa"/>
          </w:tcPr>
          <w:p w14:paraId="6188D56C"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GDPR legislation</w:t>
            </w:r>
          </w:p>
          <w:p w14:paraId="597077C9"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Data economy reports etc </w:t>
            </w:r>
          </w:p>
        </w:tc>
      </w:tr>
      <w:tr w:rsidR="005B30D8" w:rsidRPr="00116448" w14:paraId="133072D4" w14:textId="77777777" w:rsidTr="005B30D8">
        <w:trPr>
          <w:gridAfter w:val="1"/>
          <w:wAfter w:w="29" w:type="dxa"/>
        </w:trPr>
        <w:tc>
          <w:tcPr>
            <w:tcW w:w="567" w:type="dxa"/>
            <w:gridSpan w:val="2"/>
          </w:tcPr>
          <w:p w14:paraId="15747B15"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2</w:t>
            </w:r>
          </w:p>
        </w:tc>
        <w:tc>
          <w:tcPr>
            <w:tcW w:w="1701" w:type="dxa"/>
          </w:tcPr>
          <w:p w14:paraId="30A281BD"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Security</w:t>
            </w:r>
          </w:p>
        </w:tc>
        <w:tc>
          <w:tcPr>
            <w:tcW w:w="4536" w:type="dxa"/>
          </w:tcPr>
          <w:p w14:paraId="6557F079"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Gigabit speeds may enable more ‘work and play in the cloud’ (ref ITU-R M.2083-0), which could increase security issues / breaches for end-users</w:t>
            </w:r>
          </w:p>
        </w:tc>
        <w:tc>
          <w:tcPr>
            <w:tcW w:w="4111" w:type="dxa"/>
          </w:tcPr>
          <w:p w14:paraId="79B1305D"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Study to map the stakeholders involved in different aspects of security and identify if </w:t>
            </w:r>
            <w:r w:rsidRPr="00131399">
              <w:rPr>
                <w:rFonts w:ascii="Arial" w:hAnsi="Arial" w:cs="Arial"/>
                <w:sz w:val="20"/>
                <w:szCs w:val="20"/>
                <w:lang w:val="en-GB"/>
              </w:rPr>
              <w:lastRenderedPageBreak/>
              <w:t>end users are appropriately informed of security issues?</w:t>
            </w:r>
          </w:p>
        </w:tc>
        <w:tc>
          <w:tcPr>
            <w:tcW w:w="3652" w:type="dxa"/>
          </w:tcPr>
          <w:p w14:paraId="1D995AE5"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lastRenderedPageBreak/>
              <w:t>Operator Network resilience reports</w:t>
            </w:r>
          </w:p>
          <w:p w14:paraId="1F40C774" w14:textId="77777777" w:rsidR="005B30D8" w:rsidRPr="00131399" w:rsidRDefault="005B30D8" w:rsidP="00BC0E65">
            <w:pPr>
              <w:rPr>
                <w:rFonts w:ascii="Arial" w:hAnsi="Arial" w:cs="Arial"/>
                <w:sz w:val="20"/>
                <w:szCs w:val="20"/>
                <w:lang w:val="en-GB"/>
              </w:rPr>
            </w:pPr>
            <w:proofErr w:type="spellStart"/>
            <w:r w:rsidRPr="00131399">
              <w:rPr>
                <w:rFonts w:ascii="Arial" w:hAnsi="Arial" w:cs="Arial"/>
                <w:sz w:val="20"/>
                <w:szCs w:val="20"/>
                <w:lang w:val="en-GB"/>
              </w:rPr>
              <w:t>Enisa</w:t>
            </w:r>
            <w:proofErr w:type="spellEnd"/>
            <w:r w:rsidRPr="00131399">
              <w:rPr>
                <w:rFonts w:ascii="Arial" w:hAnsi="Arial" w:cs="Arial"/>
                <w:sz w:val="20"/>
                <w:szCs w:val="20"/>
                <w:lang w:val="en-GB"/>
              </w:rPr>
              <w:t xml:space="preserve"> reports and recommendations </w:t>
            </w:r>
          </w:p>
        </w:tc>
      </w:tr>
      <w:tr w:rsidR="005B30D8" w:rsidRPr="00116448" w14:paraId="636EAC41" w14:textId="77777777" w:rsidTr="005B30D8">
        <w:trPr>
          <w:gridAfter w:val="1"/>
          <w:wAfter w:w="29" w:type="dxa"/>
        </w:trPr>
        <w:tc>
          <w:tcPr>
            <w:tcW w:w="567" w:type="dxa"/>
            <w:gridSpan w:val="2"/>
          </w:tcPr>
          <w:p w14:paraId="76DD925B"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3</w:t>
            </w:r>
          </w:p>
        </w:tc>
        <w:tc>
          <w:tcPr>
            <w:tcW w:w="1701" w:type="dxa"/>
          </w:tcPr>
          <w:p w14:paraId="2D44AFF6"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Competition at retail level </w:t>
            </w:r>
          </w:p>
          <w:p w14:paraId="3F1F306E"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 Operators</w:t>
            </w:r>
          </w:p>
        </w:tc>
        <w:tc>
          <w:tcPr>
            <w:tcW w:w="4536" w:type="dxa"/>
          </w:tcPr>
          <w:p w14:paraId="2A91D16A" w14:textId="1C9AD171" w:rsidR="005B30D8" w:rsidRPr="00131399" w:rsidRDefault="005B30D8" w:rsidP="006B64F2">
            <w:pPr>
              <w:rPr>
                <w:rFonts w:ascii="Arial" w:hAnsi="Arial" w:cs="Arial"/>
                <w:sz w:val="20"/>
                <w:szCs w:val="20"/>
                <w:lang w:val="en-GB"/>
              </w:rPr>
            </w:pPr>
            <w:r w:rsidRPr="00131399">
              <w:rPr>
                <w:rFonts w:ascii="Arial" w:hAnsi="Arial" w:cs="Arial"/>
                <w:sz w:val="20"/>
                <w:szCs w:val="20"/>
                <w:lang w:val="en-GB"/>
              </w:rPr>
              <w:t xml:space="preserve">Gigabit speeds may </w:t>
            </w:r>
            <w:r w:rsidR="006B64F2" w:rsidRPr="00131399">
              <w:rPr>
                <w:rFonts w:ascii="Arial" w:hAnsi="Arial" w:cs="Arial"/>
                <w:sz w:val="20"/>
                <w:szCs w:val="20"/>
                <w:lang w:val="en-GB"/>
              </w:rPr>
              <w:t xml:space="preserve">have influence on </w:t>
            </w:r>
            <w:r w:rsidRPr="00131399">
              <w:rPr>
                <w:rFonts w:ascii="Arial" w:hAnsi="Arial" w:cs="Arial"/>
                <w:sz w:val="20"/>
                <w:szCs w:val="20"/>
                <w:lang w:val="en-GB"/>
              </w:rPr>
              <w:t>end-user choices in terms of service provider (MNO, MVNO, WISP, other micro operators (e.g. using a network slice) and / or Fixed operators</w:t>
            </w:r>
          </w:p>
        </w:tc>
        <w:tc>
          <w:tcPr>
            <w:tcW w:w="4111" w:type="dxa"/>
          </w:tcPr>
          <w:p w14:paraId="371BA71A"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Study to assess the impact of convergence in terms of ability of end users to switch service providers</w:t>
            </w:r>
          </w:p>
        </w:tc>
        <w:tc>
          <w:tcPr>
            <w:tcW w:w="3652" w:type="dxa"/>
          </w:tcPr>
          <w:p w14:paraId="3AE650E2"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Reports by NRAs</w:t>
            </w:r>
          </w:p>
          <w:p w14:paraId="30B9D009"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Other analyst studies</w:t>
            </w:r>
          </w:p>
        </w:tc>
      </w:tr>
      <w:tr w:rsidR="005B30D8" w:rsidRPr="00131399" w14:paraId="4E086BF1" w14:textId="77777777" w:rsidTr="005B30D8">
        <w:trPr>
          <w:gridAfter w:val="1"/>
          <w:wAfter w:w="29" w:type="dxa"/>
        </w:trPr>
        <w:tc>
          <w:tcPr>
            <w:tcW w:w="567" w:type="dxa"/>
            <w:gridSpan w:val="2"/>
          </w:tcPr>
          <w:p w14:paraId="69D74134"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4</w:t>
            </w:r>
          </w:p>
        </w:tc>
        <w:tc>
          <w:tcPr>
            <w:tcW w:w="1701" w:type="dxa"/>
          </w:tcPr>
          <w:p w14:paraId="01ED5D4F"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Competition at the retail level </w:t>
            </w:r>
          </w:p>
          <w:p w14:paraId="0A214504"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(ii) Services</w:t>
            </w:r>
          </w:p>
        </w:tc>
        <w:tc>
          <w:tcPr>
            <w:tcW w:w="4536" w:type="dxa"/>
          </w:tcPr>
          <w:p w14:paraId="39616F77" w14:textId="7A619DFC"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Gigabit speeds may </w:t>
            </w:r>
            <w:r w:rsidR="006B64F2" w:rsidRPr="00131399">
              <w:rPr>
                <w:rFonts w:ascii="Arial" w:hAnsi="Arial" w:cs="Arial"/>
                <w:sz w:val="20"/>
                <w:szCs w:val="20"/>
                <w:lang w:val="en-GB"/>
              </w:rPr>
              <w:t xml:space="preserve">have influence on </w:t>
            </w:r>
            <w:r w:rsidRPr="00131399">
              <w:rPr>
                <w:rFonts w:ascii="Arial" w:hAnsi="Arial" w:cs="Arial"/>
                <w:sz w:val="20"/>
                <w:szCs w:val="20"/>
                <w:lang w:val="en-GB"/>
              </w:rPr>
              <w:t>end-user choices in terms of services</w:t>
            </w:r>
          </w:p>
        </w:tc>
        <w:tc>
          <w:tcPr>
            <w:tcW w:w="4111" w:type="dxa"/>
          </w:tcPr>
          <w:p w14:paraId="69FDFDDD"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Study to assess if there are barriers to new services reaching end users </w:t>
            </w:r>
          </w:p>
        </w:tc>
        <w:tc>
          <w:tcPr>
            <w:tcW w:w="3652" w:type="dxa"/>
          </w:tcPr>
          <w:p w14:paraId="5000E971"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As above</w:t>
            </w:r>
          </w:p>
        </w:tc>
      </w:tr>
      <w:tr w:rsidR="005B30D8" w:rsidRPr="00116448" w14:paraId="74E4EA38" w14:textId="77777777" w:rsidTr="005B30D8">
        <w:trPr>
          <w:gridAfter w:val="1"/>
          <w:wAfter w:w="29" w:type="dxa"/>
        </w:trPr>
        <w:tc>
          <w:tcPr>
            <w:tcW w:w="567" w:type="dxa"/>
            <w:gridSpan w:val="2"/>
          </w:tcPr>
          <w:p w14:paraId="118967BC"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5</w:t>
            </w:r>
          </w:p>
        </w:tc>
        <w:tc>
          <w:tcPr>
            <w:tcW w:w="1701" w:type="dxa"/>
          </w:tcPr>
          <w:p w14:paraId="5F5D5BC8"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Quality of Service </w:t>
            </w:r>
          </w:p>
        </w:tc>
        <w:tc>
          <w:tcPr>
            <w:tcW w:w="4536" w:type="dxa"/>
          </w:tcPr>
          <w:p w14:paraId="1B96E23F" w14:textId="4F33BDD8" w:rsidR="005B30D8" w:rsidRPr="00131399" w:rsidRDefault="005B30D8" w:rsidP="006B64F2">
            <w:pPr>
              <w:rPr>
                <w:rFonts w:ascii="Arial" w:hAnsi="Arial" w:cs="Arial"/>
                <w:sz w:val="20"/>
                <w:szCs w:val="20"/>
                <w:lang w:val="en-GB"/>
              </w:rPr>
            </w:pPr>
            <w:r w:rsidRPr="00131399">
              <w:rPr>
                <w:rFonts w:ascii="Arial" w:hAnsi="Arial" w:cs="Arial"/>
                <w:sz w:val="20"/>
                <w:szCs w:val="20"/>
                <w:lang w:val="en-GB"/>
              </w:rPr>
              <w:t xml:space="preserve">Gigabit speeds may </w:t>
            </w:r>
            <w:r w:rsidR="006B64F2" w:rsidRPr="00131399">
              <w:rPr>
                <w:rFonts w:ascii="Arial" w:hAnsi="Arial" w:cs="Arial"/>
                <w:sz w:val="20"/>
                <w:szCs w:val="20"/>
                <w:lang w:val="en-GB"/>
              </w:rPr>
              <w:t xml:space="preserve">enable the introduction of </w:t>
            </w:r>
            <w:r w:rsidRPr="00131399">
              <w:rPr>
                <w:rFonts w:ascii="Arial" w:hAnsi="Arial" w:cs="Arial"/>
                <w:sz w:val="20"/>
                <w:szCs w:val="20"/>
                <w:lang w:val="en-GB"/>
              </w:rPr>
              <w:t xml:space="preserve">new </w:t>
            </w:r>
            <w:r w:rsidR="006B64F2" w:rsidRPr="00131399">
              <w:rPr>
                <w:rFonts w:ascii="Arial" w:hAnsi="Arial" w:cs="Arial"/>
                <w:sz w:val="20"/>
                <w:szCs w:val="20"/>
                <w:lang w:val="en-GB"/>
              </w:rPr>
              <w:t xml:space="preserve">retail services, e.g. </w:t>
            </w:r>
            <w:r w:rsidRPr="00131399">
              <w:rPr>
                <w:rFonts w:ascii="Arial" w:hAnsi="Arial" w:cs="Arial"/>
                <w:sz w:val="20"/>
                <w:szCs w:val="20"/>
                <w:lang w:val="en-GB"/>
              </w:rPr>
              <w:t xml:space="preserve">UHD video streams or 3D video systems, so Quality of Service (QoS) information may need to be clear and available </w:t>
            </w:r>
            <w:r w:rsidR="006B64F2" w:rsidRPr="00131399">
              <w:rPr>
                <w:rFonts w:ascii="Arial" w:hAnsi="Arial" w:cs="Arial"/>
                <w:sz w:val="20"/>
                <w:szCs w:val="20"/>
                <w:lang w:val="en-GB"/>
              </w:rPr>
              <w:t xml:space="preserve">to </w:t>
            </w:r>
            <w:r w:rsidRPr="00131399">
              <w:rPr>
                <w:rFonts w:ascii="Arial" w:hAnsi="Arial" w:cs="Arial"/>
                <w:sz w:val="20"/>
                <w:szCs w:val="20"/>
                <w:lang w:val="en-GB"/>
              </w:rPr>
              <w:t xml:space="preserve">end users </w:t>
            </w:r>
          </w:p>
        </w:tc>
        <w:tc>
          <w:tcPr>
            <w:tcW w:w="4111" w:type="dxa"/>
          </w:tcPr>
          <w:p w14:paraId="06725585"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Improving information on coverage and QoS so that users can make informed choices</w:t>
            </w:r>
          </w:p>
        </w:tc>
        <w:tc>
          <w:tcPr>
            <w:tcW w:w="3652" w:type="dxa"/>
          </w:tcPr>
          <w:p w14:paraId="6B477F7E"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NRA coverage maps, </w:t>
            </w:r>
          </w:p>
          <w:p w14:paraId="30F2FD1C"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Reports by NRAs </w:t>
            </w:r>
          </w:p>
        </w:tc>
      </w:tr>
      <w:tr w:rsidR="005B30D8" w:rsidRPr="00116448" w14:paraId="5BE9BD08" w14:textId="77777777" w:rsidTr="005B30D8">
        <w:trPr>
          <w:gridAfter w:val="1"/>
          <w:wAfter w:w="29" w:type="dxa"/>
        </w:trPr>
        <w:tc>
          <w:tcPr>
            <w:tcW w:w="567" w:type="dxa"/>
            <w:gridSpan w:val="2"/>
          </w:tcPr>
          <w:p w14:paraId="7B1D931F"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6</w:t>
            </w:r>
          </w:p>
        </w:tc>
        <w:tc>
          <w:tcPr>
            <w:tcW w:w="1701" w:type="dxa"/>
          </w:tcPr>
          <w:p w14:paraId="38A1FF34"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Consumer protection </w:t>
            </w:r>
          </w:p>
          <w:p w14:paraId="39C839F2" w14:textId="746190F6"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 Coverage maps</w:t>
            </w:r>
          </w:p>
        </w:tc>
        <w:tc>
          <w:tcPr>
            <w:tcW w:w="4536" w:type="dxa"/>
          </w:tcPr>
          <w:p w14:paraId="5163BA67" w14:textId="0F06D83F" w:rsidR="005B30D8" w:rsidRPr="00131399" w:rsidRDefault="005B30D8" w:rsidP="006B64F2">
            <w:pPr>
              <w:rPr>
                <w:rFonts w:ascii="Arial" w:hAnsi="Arial" w:cs="Arial"/>
                <w:sz w:val="20"/>
                <w:szCs w:val="20"/>
                <w:lang w:val="en-GB"/>
              </w:rPr>
            </w:pPr>
            <w:r w:rsidRPr="00131399">
              <w:rPr>
                <w:rFonts w:ascii="Arial" w:hAnsi="Arial" w:cs="Arial"/>
                <w:sz w:val="20"/>
                <w:szCs w:val="20"/>
                <w:lang w:val="en-GB"/>
              </w:rPr>
              <w:t xml:space="preserve">Gigabit speeds </w:t>
            </w:r>
            <w:r w:rsidR="006B64F2" w:rsidRPr="00131399">
              <w:rPr>
                <w:rFonts w:ascii="Arial" w:hAnsi="Arial" w:cs="Arial"/>
                <w:sz w:val="20"/>
                <w:szCs w:val="20"/>
                <w:lang w:val="en-GB"/>
              </w:rPr>
              <w:t xml:space="preserve">and certain quality parameters </w:t>
            </w:r>
            <w:proofErr w:type="gramStart"/>
            <w:r w:rsidRPr="00131399">
              <w:rPr>
                <w:rFonts w:ascii="Arial" w:hAnsi="Arial" w:cs="Arial"/>
                <w:sz w:val="20"/>
                <w:szCs w:val="20"/>
                <w:lang w:val="en-GB"/>
              </w:rPr>
              <w:t xml:space="preserve">may not be available in all locations </w:t>
            </w:r>
            <w:r w:rsidR="006B64F2" w:rsidRPr="00131399">
              <w:rPr>
                <w:rFonts w:ascii="Arial" w:hAnsi="Arial" w:cs="Arial"/>
                <w:sz w:val="20"/>
                <w:szCs w:val="20"/>
                <w:lang w:val="en-GB"/>
              </w:rPr>
              <w:t>and at all times</w:t>
            </w:r>
            <w:proofErr w:type="gramEnd"/>
            <w:r w:rsidR="006B64F2" w:rsidRPr="00131399">
              <w:rPr>
                <w:rFonts w:ascii="Arial" w:hAnsi="Arial" w:cs="Arial"/>
                <w:sz w:val="20"/>
                <w:szCs w:val="20"/>
                <w:lang w:val="en-GB"/>
              </w:rPr>
              <w:t xml:space="preserve"> </w:t>
            </w:r>
            <w:r w:rsidRPr="00131399">
              <w:rPr>
                <w:rFonts w:ascii="Arial" w:hAnsi="Arial" w:cs="Arial"/>
                <w:sz w:val="20"/>
                <w:szCs w:val="20"/>
                <w:lang w:val="en-GB"/>
              </w:rPr>
              <w:t xml:space="preserve">in a network, which could frustrate end-users if they are </w:t>
            </w:r>
            <w:r w:rsidR="006B64F2" w:rsidRPr="00131399">
              <w:rPr>
                <w:rFonts w:ascii="Arial" w:hAnsi="Arial" w:cs="Arial"/>
                <w:sz w:val="20"/>
                <w:szCs w:val="20"/>
                <w:lang w:val="en-GB"/>
              </w:rPr>
              <w:t xml:space="preserve">not informed in a transparent way </w:t>
            </w:r>
            <w:r w:rsidRPr="00131399">
              <w:rPr>
                <w:rFonts w:ascii="Arial" w:hAnsi="Arial" w:cs="Arial"/>
                <w:sz w:val="20"/>
                <w:szCs w:val="20"/>
                <w:lang w:val="en-GB"/>
              </w:rPr>
              <w:t xml:space="preserve">about service availability </w:t>
            </w:r>
          </w:p>
        </w:tc>
        <w:tc>
          <w:tcPr>
            <w:tcW w:w="4111" w:type="dxa"/>
          </w:tcPr>
          <w:p w14:paraId="79F2D1D0"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Study to consider how NRAs can assist consumers receive the information on coverage </w:t>
            </w:r>
          </w:p>
        </w:tc>
        <w:tc>
          <w:tcPr>
            <w:tcW w:w="3652" w:type="dxa"/>
          </w:tcPr>
          <w:p w14:paraId="736814F1"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NRA coverage maps, </w:t>
            </w:r>
          </w:p>
          <w:p w14:paraId="7AF84F78"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Information from BEUC, consumer agencies</w:t>
            </w:r>
          </w:p>
          <w:p w14:paraId="230D9A6B"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Other BEREC working groups (e.g. End User)</w:t>
            </w:r>
          </w:p>
        </w:tc>
      </w:tr>
      <w:tr w:rsidR="005B30D8" w:rsidRPr="00131399" w14:paraId="722D72C5" w14:textId="77777777" w:rsidTr="005B30D8">
        <w:trPr>
          <w:gridAfter w:val="1"/>
          <w:wAfter w:w="29" w:type="dxa"/>
        </w:trPr>
        <w:tc>
          <w:tcPr>
            <w:tcW w:w="567" w:type="dxa"/>
            <w:gridSpan w:val="2"/>
          </w:tcPr>
          <w:p w14:paraId="45563853" w14:textId="4DED8915" w:rsidR="005B30D8" w:rsidRPr="00131399" w:rsidRDefault="005E481D" w:rsidP="00BC0E65">
            <w:pPr>
              <w:rPr>
                <w:rFonts w:ascii="Arial" w:hAnsi="Arial" w:cs="Arial"/>
                <w:sz w:val="20"/>
                <w:szCs w:val="20"/>
                <w:lang w:val="en-GB"/>
              </w:rPr>
            </w:pPr>
            <w:r w:rsidRPr="00131399">
              <w:rPr>
                <w:rFonts w:ascii="Arial" w:hAnsi="Arial" w:cs="Arial"/>
                <w:sz w:val="20"/>
                <w:szCs w:val="20"/>
                <w:lang w:val="en-GB"/>
              </w:rPr>
              <w:t>7</w:t>
            </w:r>
          </w:p>
        </w:tc>
        <w:tc>
          <w:tcPr>
            <w:tcW w:w="1701" w:type="dxa"/>
          </w:tcPr>
          <w:p w14:paraId="17BB9315"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Consumer protection </w:t>
            </w:r>
          </w:p>
          <w:p w14:paraId="120658AF"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lastRenderedPageBreak/>
              <w:t>(ii) Labelling</w:t>
            </w:r>
          </w:p>
        </w:tc>
        <w:tc>
          <w:tcPr>
            <w:tcW w:w="4536" w:type="dxa"/>
          </w:tcPr>
          <w:p w14:paraId="1884F310" w14:textId="4E8CEF76"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lastRenderedPageBreak/>
              <w:t>The introduction of 5G enables operators to differentiate products and services in much more complex ways, which could confuse certain end-</w:t>
            </w:r>
            <w:r w:rsidRPr="00131399">
              <w:rPr>
                <w:rFonts w:ascii="Arial" w:hAnsi="Arial" w:cs="Arial"/>
                <w:sz w:val="20"/>
                <w:szCs w:val="20"/>
                <w:lang w:val="en-GB"/>
              </w:rPr>
              <w:lastRenderedPageBreak/>
              <w:t>users make informed choices</w:t>
            </w:r>
            <w:r w:rsidR="00FA469A" w:rsidRPr="00131399">
              <w:rPr>
                <w:rFonts w:ascii="Arial" w:hAnsi="Arial" w:cs="Arial"/>
                <w:sz w:val="20"/>
                <w:szCs w:val="20"/>
                <w:lang w:val="en-GB"/>
              </w:rPr>
              <w:t>, or switch between operators</w:t>
            </w:r>
          </w:p>
        </w:tc>
        <w:tc>
          <w:tcPr>
            <w:tcW w:w="4111" w:type="dxa"/>
          </w:tcPr>
          <w:p w14:paraId="3F6D7D36" w14:textId="14A29506"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lastRenderedPageBreak/>
              <w:t xml:space="preserve">Study to consider how best to present speeds, latency or other characteristics to </w:t>
            </w:r>
            <w:r w:rsidRPr="00131399">
              <w:rPr>
                <w:rFonts w:ascii="Arial" w:hAnsi="Arial" w:cs="Arial"/>
                <w:sz w:val="20"/>
                <w:szCs w:val="20"/>
                <w:lang w:val="en-GB"/>
              </w:rPr>
              <w:lastRenderedPageBreak/>
              <w:t>consumers to prevent mis-labelling of products and services</w:t>
            </w:r>
            <w:r w:rsidR="00FA469A" w:rsidRPr="00131399">
              <w:rPr>
                <w:rFonts w:ascii="Arial" w:hAnsi="Arial" w:cs="Arial"/>
                <w:sz w:val="20"/>
                <w:szCs w:val="20"/>
                <w:lang w:val="en-GB"/>
              </w:rPr>
              <w:t>.</w:t>
            </w:r>
          </w:p>
        </w:tc>
        <w:tc>
          <w:tcPr>
            <w:tcW w:w="3652" w:type="dxa"/>
          </w:tcPr>
          <w:p w14:paraId="666956A2"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lastRenderedPageBreak/>
              <w:t>As above</w:t>
            </w:r>
          </w:p>
        </w:tc>
      </w:tr>
      <w:tr w:rsidR="005B30D8" w:rsidRPr="00116448" w14:paraId="566BD2DF" w14:textId="77777777" w:rsidTr="005B30D8">
        <w:trPr>
          <w:gridAfter w:val="1"/>
          <w:wAfter w:w="29" w:type="dxa"/>
        </w:trPr>
        <w:tc>
          <w:tcPr>
            <w:tcW w:w="567" w:type="dxa"/>
            <w:gridSpan w:val="2"/>
          </w:tcPr>
          <w:p w14:paraId="07226DB3"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8</w:t>
            </w:r>
          </w:p>
        </w:tc>
        <w:tc>
          <w:tcPr>
            <w:tcW w:w="1701" w:type="dxa"/>
          </w:tcPr>
          <w:p w14:paraId="4ED71324"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Misinformation (Focus: Health effects of EMF)</w:t>
            </w:r>
          </w:p>
        </w:tc>
        <w:tc>
          <w:tcPr>
            <w:tcW w:w="4536" w:type="dxa"/>
          </w:tcPr>
          <w:p w14:paraId="3B42E7AC" w14:textId="77777777" w:rsidR="0010695D" w:rsidRPr="00131399" w:rsidRDefault="005B30D8" w:rsidP="0010695D">
            <w:pPr>
              <w:rPr>
                <w:rFonts w:ascii="Arial" w:hAnsi="Arial" w:cs="Arial"/>
                <w:sz w:val="20"/>
                <w:szCs w:val="20"/>
                <w:lang w:val="en-GB"/>
              </w:rPr>
            </w:pPr>
            <w:r w:rsidRPr="00131399">
              <w:rPr>
                <w:rFonts w:ascii="Arial" w:hAnsi="Arial" w:cs="Arial"/>
                <w:sz w:val="20"/>
                <w:szCs w:val="20"/>
                <w:lang w:val="en-GB"/>
              </w:rPr>
              <w:t xml:space="preserve">5G may result in increased power flux density of signals </w:t>
            </w:r>
            <w:proofErr w:type="gramStart"/>
            <w:r w:rsidRPr="00131399">
              <w:rPr>
                <w:rFonts w:ascii="Arial" w:hAnsi="Arial" w:cs="Arial"/>
                <w:sz w:val="20"/>
                <w:szCs w:val="20"/>
                <w:lang w:val="en-GB"/>
              </w:rPr>
              <w:t>in particular geographic</w:t>
            </w:r>
            <w:proofErr w:type="gramEnd"/>
            <w:r w:rsidRPr="00131399">
              <w:rPr>
                <w:rFonts w:ascii="Arial" w:hAnsi="Arial" w:cs="Arial"/>
                <w:sz w:val="20"/>
                <w:szCs w:val="20"/>
                <w:lang w:val="en-GB"/>
              </w:rPr>
              <w:t xml:space="preserve"> areas (e.g. MIMO and beamforming etc.). To date, there is indicative information that certain end-users are being misinformed about health issues of EMF signals in this 5G context</w:t>
            </w:r>
            <w:r w:rsidR="006B64F2" w:rsidRPr="00131399">
              <w:rPr>
                <w:rFonts w:ascii="Arial" w:hAnsi="Arial" w:cs="Arial"/>
                <w:sz w:val="20"/>
                <w:szCs w:val="20"/>
                <w:lang w:val="en-GB"/>
              </w:rPr>
              <w:t xml:space="preserve">. </w:t>
            </w:r>
          </w:p>
          <w:p w14:paraId="2C061EE0" w14:textId="1E7F5A42" w:rsidR="005B30D8" w:rsidRPr="00131399" w:rsidRDefault="0010695D" w:rsidP="00FA469A">
            <w:pPr>
              <w:rPr>
                <w:rFonts w:ascii="Arial" w:hAnsi="Arial" w:cs="Arial"/>
                <w:sz w:val="20"/>
                <w:szCs w:val="20"/>
                <w:lang w:val="en-GB"/>
              </w:rPr>
            </w:pPr>
            <w:r w:rsidRPr="00131399">
              <w:rPr>
                <w:rFonts w:ascii="Arial" w:hAnsi="Arial" w:cs="Arial"/>
                <w:sz w:val="20"/>
                <w:szCs w:val="20"/>
                <w:lang w:val="en-GB"/>
              </w:rPr>
              <w:t xml:space="preserve">EMC/EMF </w:t>
            </w:r>
            <w:r w:rsidR="00FA469A" w:rsidRPr="00131399">
              <w:rPr>
                <w:rFonts w:ascii="Arial" w:hAnsi="Arial" w:cs="Arial"/>
                <w:sz w:val="20"/>
                <w:szCs w:val="20"/>
                <w:lang w:val="en-GB"/>
              </w:rPr>
              <w:t>considerations</w:t>
            </w:r>
            <w:r w:rsidRPr="00131399">
              <w:rPr>
                <w:rFonts w:ascii="Arial" w:hAnsi="Arial" w:cs="Arial"/>
                <w:sz w:val="20"/>
                <w:szCs w:val="20"/>
                <w:lang w:val="en-GB"/>
              </w:rPr>
              <w:t xml:space="preserve"> </w:t>
            </w:r>
            <w:r w:rsidR="006B64F2" w:rsidRPr="00131399">
              <w:rPr>
                <w:rFonts w:ascii="Arial" w:hAnsi="Arial" w:cs="Arial"/>
                <w:sz w:val="20"/>
                <w:szCs w:val="20"/>
                <w:lang w:val="en-GB"/>
              </w:rPr>
              <w:t>c</w:t>
            </w:r>
            <w:r w:rsidR="00FA469A" w:rsidRPr="00131399">
              <w:rPr>
                <w:rFonts w:ascii="Arial" w:hAnsi="Arial" w:cs="Arial"/>
                <w:sz w:val="20"/>
                <w:szCs w:val="20"/>
                <w:lang w:val="en-GB"/>
              </w:rPr>
              <w:t>ould</w:t>
            </w:r>
            <w:r w:rsidR="006B64F2" w:rsidRPr="00131399">
              <w:rPr>
                <w:rFonts w:ascii="Arial" w:hAnsi="Arial" w:cs="Arial"/>
                <w:sz w:val="20"/>
                <w:szCs w:val="20"/>
                <w:lang w:val="en-GB"/>
              </w:rPr>
              <w:t xml:space="preserve"> potentially lead </w:t>
            </w:r>
            <w:r w:rsidRPr="00131399">
              <w:rPr>
                <w:rFonts w:ascii="Arial" w:hAnsi="Arial" w:cs="Arial"/>
                <w:sz w:val="20"/>
                <w:szCs w:val="20"/>
                <w:lang w:val="en-GB"/>
              </w:rPr>
              <w:t>to longer rollout procedures, higher transaction costs and sub-optimal network design.</w:t>
            </w:r>
          </w:p>
        </w:tc>
        <w:tc>
          <w:tcPr>
            <w:tcW w:w="4111" w:type="dxa"/>
          </w:tcPr>
          <w:p w14:paraId="01DB4634"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Study to consider whether the information on the limits set by the appropriate bodies in various Member States is fit for purpose for spectrum managers to inform end-users (and/or to consider how best to improve information to end-users)</w:t>
            </w:r>
          </w:p>
        </w:tc>
        <w:tc>
          <w:tcPr>
            <w:tcW w:w="3652" w:type="dxa"/>
          </w:tcPr>
          <w:p w14:paraId="5420EFAA" w14:textId="2DF87E58"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Technical reports by other expert agencies (e.g. WHO, ICNIRP, standards bodies ITU-T and IEC). Member States set the EMF limits (in the Ofcom does it based on ICNIRP).</w:t>
            </w:r>
          </w:p>
          <w:p w14:paraId="0E971E23" w14:textId="77777777" w:rsidR="005B30D8" w:rsidRPr="00131399" w:rsidRDefault="005B30D8" w:rsidP="00BC0E65">
            <w:pPr>
              <w:jc w:val="left"/>
              <w:rPr>
                <w:rFonts w:ascii="Arial" w:hAnsi="Arial" w:cs="Arial"/>
                <w:sz w:val="20"/>
                <w:szCs w:val="20"/>
                <w:lang w:val="en-GB"/>
              </w:rPr>
            </w:pPr>
          </w:p>
        </w:tc>
      </w:tr>
      <w:tr w:rsidR="005B30D8" w:rsidRPr="00116448" w14:paraId="57E1620E" w14:textId="77777777" w:rsidTr="005B30D8">
        <w:trPr>
          <w:gridAfter w:val="1"/>
          <w:wAfter w:w="29" w:type="dxa"/>
        </w:trPr>
        <w:tc>
          <w:tcPr>
            <w:tcW w:w="567" w:type="dxa"/>
            <w:gridSpan w:val="2"/>
          </w:tcPr>
          <w:p w14:paraId="7B251A1B" w14:textId="77777777" w:rsidR="005B30D8" w:rsidRPr="00131399" w:rsidRDefault="005B30D8" w:rsidP="00BC0E65">
            <w:pPr>
              <w:rPr>
                <w:rFonts w:ascii="Arial" w:hAnsi="Arial" w:cs="Arial"/>
                <w:color w:val="FF0000"/>
                <w:sz w:val="20"/>
                <w:szCs w:val="20"/>
                <w:lang w:val="en-GB"/>
              </w:rPr>
            </w:pPr>
            <w:r w:rsidRPr="00131399">
              <w:rPr>
                <w:rFonts w:ascii="Arial" w:hAnsi="Arial" w:cs="Arial"/>
                <w:color w:val="FF0000"/>
                <w:sz w:val="20"/>
                <w:szCs w:val="20"/>
                <w:lang w:val="en-GB"/>
              </w:rPr>
              <w:t>[…]</w:t>
            </w:r>
          </w:p>
        </w:tc>
        <w:tc>
          <w:tcPr>
            <w:tcW w:w="1701" w:type="dxa"/>
          </w:tcPr>
          <w:p w14:paraId="59677E29" w14:textId="77777777" w:rsidR="005B30D8" w:rsidRPr="00131399" w:rsidRDefault="005B30D8" w:rsidP="00BC0E65">
            <w:pPr>
              <w:rPr>
                <w:rFonts w:ascii="Arial" w:hAnsi="Arial" w:cs="Arial"/>
                <w:color w:val="FF0000"/>
                <w:sz w:val="20"/>
                <w:szCs w:val="20"/>
                <w:lang w:val="en-GB"/>
              </w:rPr>
            </w:pPr>
            <w:r w:rsidRPr="00131399">
              <w:rPr>
                <w:rFonts w:ascii="Arial" w:hAnsi="Arial" w:cs="Arial"/>
                <w:color w:val="FF0000"/>
                <w:sz w:val="20"/>
                <w:szCs w:val="20"/>
                <w:lang w:val="en-GB"/>
              </w:rPr>
              <w:t>[please add to draft list]</w:t>
            </w:r>
          </w:p>
        </w:tc>
        <w:tc>
          <w:tcPr>
            <w:tcW w:w="4536" w:type="dxa"/>
          </w:tcPr>
          <w:p w14:paraId="725FD61D" w14:textId="77777777" w:rsidR="005B30D8" w:rsidRPr="00131399" w:rsidRDefault="005B30D8" w:rsidP="00BC0E65">
            <w:pPr>
              <w:rPr>
                <w:rFonts w:ascii="Arial" w:hAnsi="Arial" w:cs="Arial"/>
                <w:color w:val="FF0000"/>
                <w:sz w:val="20"/>
                <w:szCs w:val="20"/>
                <w:lang w:val="en-GB"/>
              </w:rPr>
            </w:pPr>
            <w:r w:rsidRPr="00131399">
              <w:rPr>
                <w:rFonts w:ascii="Arial" w:hAnsi="Arial" w:cs="Arial"/>
                <w:color w:val="FF0000"/>
                <w:sz w:val="20"/>
                <w:szCs w:val="20"/>
                <w:lang w:val="en-GB"/>
              </w:rPr>
              <w:t xml:space="preserve">[please briefly define why 5G could impact this item] </w:t>
            </w:r>
          </w:p>
        </w:tc>
        <w:tc>
          <w:tcPr>
            <w:tcW w:w="4111" w:type="dxa"/>
          </w:tcPr>
          <w:p w14:paraId="61A613F7" w14:textId="77777777" w:rsidR="005B30D8" w:rsidRPr="00131399" w:rsidRDefault="005B30D8" w:rsidP="00BC0E65">
            <w:pPr>
              <w:rPr>
                <w:rFonts w:ascii="Arial" w:hAnsi="Arial" w:cs="Arial"/>
                <w:color w:val="FF0000"/>
                <w:sz w:val="20"/>
                <w:szCs w:val="20"/>
                <w:lang w:val="en-GB"/>
              </w:rPr>
            </w:pPr>
            <w:r w:rsidRPr="00131399">
              <w:rPr>
                <w:rFonts w:ascii="Arial" w:hAnsi="Arial" w:cs="Arial"/>
                <w:color w:val="FF0000"/>
                <w:sz w:val="20"/>
                <w:szCs w:val="20"/>
                <w:lang w:val="en-GB"/>
              </w:rPr>
              <w:t xml:space="preserve">[please set out a possible line of enquiry] </w:t>
            </w:r>
          </w:p>
        </w:tc>
        <w:tc>
          <w:tcPr>
            <w:tcW w:w="3652" w:type="dxa"/>
          </w:tcPr>
          <w:p w14:paraId="3B58C744" w14:textId="77777777" w:rsidR="005B30D8" w:rsidRPr="00131399" w:rsidRDefault="005B30D8" w:rsidP="00BC0E65">
            <w:pPr>
              <w:rPr>
                <w:rFonts w:ascii="Arial" w:hAnsi="Arial" w:cs="Arial"/>
                <w:color w:val="FF0000"/>
                <w:sz w:val="20"/>
                <w:szCs w:val="20"/>
                <w:lang w:val="en-GB"/>
              </w:rPr>
            </w:pPr>
            <w:r w:rsidRPr="00131399">
              <w:rPr>
                <w:rFonts w:ascii="Arial" w:hAnsi="Arial" w:cs="Arial"/>
                <w:color w:val="FF0000"/>
                <w:sz w:val="20"/>
                <w:szCs w:val="20"/>
                <w:lang w:val="en-GB"/>
              </w:rPr>
              <w:t>[please provide any relevant information]</w:t>
            </w:r>
          </w:p>
        </w:tc>
      </w:tr>
      <w:tr w:rsidR="005B30D8" w:rsidRPr="00131399" w14:paraId="479631EF" w14:textId="77777777" w:rsidTr="005A7881">
        <w:tc>
          <w:tcPr>
            <w:tcW w:w="14596" w:type="dxa"/>
            <w:gridSpan w:val="7"/>
          </w:tcPr>
          <w:p w14:paraId="0764F84C" w14:textId="2E5513FE" w:rsidR="005B30D8" w:rsidRPr="00131399" w:rsidRDefault="005B30D8" w:rsidP="005B30D8">
            <w:pPr>
              <w:rPr>
                <w:rFonts w:ascii="Arial" w:hAnsi="Arial" w:cs="Arial"/>
                <w:sz w:val="20"/>
                <w:szCs w:val="20"/>
                <w:lang w:val="en-GB"/>
              </w:rPr>
            </w:pPr>
            <w:r w:rsidRPr="00131399">
              <w:rPr>
                <w:rFonts w:ascii="Arial" w:hAnsi="Arial" w:cs="Arial"/>
                <w:b/>
                <w:sz w:val="20"/>
                <w:szCs w:val="20"/>
                <w:lang w:val="en-GB"/>
              </w:rPr>
              <w:t>Massive Machine Type Communications and Ultra-reliable &amp; Low latency communications (Focus:  Verticals perspective)</w:t>
            </w:r>
          </w:p>
        </w:tc>
      </w:tr>
      <w:tr w:rsidR="005B30D8" w:rsidRPr="00116448" w14:paraId="079735D8" w14:textId="77777777" w:rsidTr="00CE4F6C">
        <w:trPr>
          <w:gridAfter w:val="1"/>
          <w:wAfter w:w="29" w:type="dxa"/>
        </w:trPr>
        <w:tc>
          <w:tcPr>
            <w:tcW w:w="534" w:type="dxa"/>
          </w:tcPr>
          <w:p w14:paraId="01C12541" w14:textId="77777777" w:rsidR="005B30D8" w:rsidRPr="00131399" w:rsidRDefault="005B30D8" w:rsidP="00BC0E65">
            <w:pPr>
              <w:rPr>
                <w:rFonts w:ascii="Arial" w:hAnsi="Arial" w:cs="Arial"/>
                <w:sz w:val="20"/>
                <w:szCs w:val="20"/>
                <w:lang w:val="en-GB"/>
              </w:rPr>
            </w:pPr>
          </w:p>
        </w:tc>
        <w:tc>
          <w:tcPr>
            <w:tcW w:w="1734" w:type="dxa"/>
            <w:gridSpan w:val="2"/>
          </w:tcPr>
          <w:p w14:paraId="69BEEDDA" w14:textId="7B1378C3" w:rsidR="005B30D8" w:rsidRPr="00131399" w:rsidRDefault="005B30D8" w:rsidP="00BC0E65">
            <w:pPr>
              <w:rPr>
                <w:rFonts w:ascii="Arial" w:hAnsi="Arial" w:cs="Arial"/>
                <w:sz w:val="20"/>
                <w:szCs w:val="20"/>
                <w:lang w:val="en-GB"/>
              </w:rPr>
            </w:pPr>
            <w:r w:rsidRPr="00131399">
              <w:rPr>
                <w:rFonts w:ascii="Arial" w:hAnsi="Arial" w:cs="Arial"/>
                <w:b/>
                <w:sz w:val="20"/>
                <w:szCs w:val="20"/>
                <w:lang w:val="en-GB"/>
              </w:rPr>
              <w:t>Draft list (some items identified)</w:t>
            </w:r>
          </w:p>
        </w:tc>
        <w:tc>
          <w:tcPr>
            <w:tcW w:w="4536" w:type="dxa"/>
          </w:tcPr>
          <w:p w14:paraId="5CB7A9B9" w14:textId="350CDC22" w:rsidR="005B30D8" w:rsidRPr="00131399" w:rsidRDefault="005B30D8" w:rsidP="00BC0E65">
            <w:pPr>
              <w:rPr>
                <w:rFonts w:ascii="Arial" w:hAnsi="Arial" w:cs="Arial"/>
                <w:sz w:val="20"/>
                <w:szCs w:val="20"/>
                <w:lang w:val="en-GB"/>
              </w:rPr>
            </w:pPr>
            <w:r w:rsidRPr="00131399">
              <w:rPr>
                <w:rFonts w:ascii="Arial" w:hAnsi="Arial" w:cs="Arial"/>
                <w:b/>
                <w:sz w:val="20"/>
                <w:szCs w:val="20"/>
                <w:lang w:val="en-GB"/>
              </w:rPr>
              <w:t xml:space="preserve">An example of why 5G could impact this?  (please note we would intend to consider ‘how’ 5G might impact in more detail in due course) </w:t>
            </w:r>
          </w:p>
        </w:tc>
        <w:tc>
          <w:tcPr>
            <w:tcW w:w="4111" w:type="dxa"/>
          </w:tcPr>
          <w:p w14:paraId="0CF713C6" w14:textId="4965D19A" w:rsidR="005B30D8" w:rsidRPr="00131399" w:rsidRDefault="005B30D8" w:rsidP="00BC0E65">
            <w:pPr>
              <w:rPr>
                <w:rFonts w:ascii="Arial" w:hAnsi="Arial" w:cs="Arial"/>
                <w:sz w:val="20"/>
                <w:szCs w:val="20"/>
                <w:lang w:val="en-GB"/>
              </w:rPr>
            </w:pPr>
            <w:r w:rsidRPr="00131399">
              <w:rPr>
                <w:rFonts w:ascii="Arial" w:hAnsi="Arial" w:cs="Arial"/>
                <w:b/>
                <w:sz w:val="20"/>
                <w:szCs w:val="20"/>
                <w:lang w:val="en-GB"/>
              </w:rPr>
              <w:t xml:space="preserve">Possible enquiry area (please provide views) </w:t>
            </w:r>
          </w:p>
        </w:tc>
        <w:tc>
          <w:tcPr>
            <w:tcW w:w="3652" w:type="dxa"/>
          </w:tcPr>
          <w:p w14:paraId="7DBE462D" w14:textId="6226E533" w:rsidR="005B30D8" w:rsidRPr="00131399" w:rsidRDefault="005B30D8" w:rsidP="00BC0E65">
            <w:pPr>
              <w:rPr>
                <w:rFonts w:ascii="Arial" w:hAnsi="Arial" w:cs="Arial"/>
                <w:sz w:val="20"/>
                <w:szCs w:val="20"/>
                <w:lang w:val="en-GB"/>
              </w:rPr>
            </w:pPr>
            <w:r w:rsidRPr="00131399">
              <w:rPr>
                <w:rFonts w:ascii="Arial" w:hAnsi="Arial" w:cs="Arial"/>
                <w:b/>
                <w:sz w:val="20"/>
                <w:szCs w:val="20"/>
                <w:lang w:val="en-GB"/>
              </w:rPr>
              <w:t xml:space="preserve">What information may be available to us? </w:t>
            </w:r>
          </w:p>
        </w:tc>
      </w:tr>
      <w:tr w:rsidR="005B30D8" w:rsidRPr="00116448" w14:paraId="0E8B04F2" w14:textId="77777777" w:rsidTr="00CE4F6C">
        <w:trPr>
          <w:gridAfter w:val="1"/>
          <w:wAfter w:w="29" w:type="dxa"/>
        </w:trPr>
        <w:tc>
          <w:tcPr>
            <w:tcW w:w="534" w:type="dxa"/>
          </w:tcPr>
          <w:p w14:paraId="44C1D12D"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1</w:t>
            </w:r>
          </w:p>
        </w:tc>
        <w:tc>
          <w:tcPr>
            <w:tcW w:w="1734" w:type="dxa"/>
            <w:gridSpan w:val="2"/>
          </w:tcPr>
          <w:p w14:paraId="5A8290CD"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Privacy </w:t>
            </w:r>
          </w:p>
          <w:p w14:paraId="5DF9E010" w14:textId="77777777" w:rsidR="005B30D8" w:rsidRPr="00131399" w:rsidRDefault="005B30D8" w:rsidP="00BC0E65">
            <w:pPr>
              <w:rPr>
                <w:rFonts w:ascii="Arial" w:hAnsi="Arial" w:cs="Arial"/>
                <w:sz w:val="20"/>
                <w:szCs w:val="20"/>
                <w:lang w:val="en-GB"/>
              </w:rPr>
            </w:pPr>
          </w:p>
        </w:tc>
        <w:tc>
          <w:tcPr>
            <w:tcW w:w="4536" w:type="dxa"/>
          </w:tcPr>
          <w:p w14:paraId="5615AC9D"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Smart city </w:t>
            </w:r>
            <w:proofErr w:type="gramStart"/>
            <w:r w:rsidRPr="00131399">
              <w:rPr>
                <w:rFonts w:ascii="Arial" w:hAnsi="Arial" w:cs="Arial"/>
                <w:sz w:val="20"/>
                <w:szCs w:val="20"/>
                <w:lang w:val="en-GB"/>
              </w:rPr>
              <w:t>use</w:t>
            </w:r>
            <w:proofErr w:type="gramEnd"/>
            <w:r w:rsidRPr="00131399">
              <w:rPr>
                <w:rFonts w:ascii="Arial" w:hAnsi="Arial" w:cs="Arial"/>
                <w:sz w:val="20"/>
                <w:szCs w:val="20"/>
                <w:lang w:val="en-GB"/>
              </w:rPr>
              <w:t xml:space="preserve"> cases increase (harvesting data from different uses).  Data processing actors in the 5G value chain develop but may not have a direct relationship with end users and therefore cannot request data processing consents directly.  </w:t>
            </w:r>
          </w:p>
        </w:tc>
        <w:tc>
          <w:tcPr>
            <w:tcW w:w="4111" w:type="dxa"/>
          </w:tcPr>
          <w:p w14:paraId="188BE4F8"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Study to analyse the consequences of the e-privacy regulation for data exchange between parties in the vertical’s value chain in 5G.</w:t>
            </w:r>
          </w:p>
        </w:tc>
        <w:tc>
          <w:tcPr>
            <w:tcW w:w="3652" w:type="dxa"/>
          </w:tcPr>
          <w:p w14:paraId="49DBC114" w14:textId="77777777" w:rsidR="005B30D8" w:rsidRPr="00131399" w:rsidRDefault="005B30D8" w:rsidP="00BC0E65">
            <w:pPr>
              <w:rPr>
                <w:rFonts w:ascii="Arial" w:hAnsi="Arial" w:cs="Arial"/>
                <w:sz w:val="20"/>
                <w:szCs w:val="20"/>
                <w:lang w:val="en-GB"/>
              </w:rPr>
            </w:pPr>
          </w:p>
        </w:tc>
      </w:tr>
      <w:tr w:rsidR="005B30D8" w:rsidRPr="00116448" w14:paraId="7F531ADF" w14:textId="77777777" w:rsidTr="00CE4F6C">
        <w:trPr>
          <w:gridAfter w:val="1"/>
          <w:wAfter w:w="29" w:type="dxa"/>
        </w:trPr>
        <w:tc>
          <w:tcPr>
            <w:tcW w:w="534" w:type="dxa"/>
          </w:tcPr>
          <w:p w14:paraId="483C9D6D"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lastRenderedPageBreak/>
              <w:t>2</w:t>
            </w:r>
          </w:p>
        </w:tc>
        <w:tc>
          <w:tcPr>
            <w:tcW w:w="1734" w:type="dxa"/>
            <w:gridSpan w:val="2"/>
          </w:tcPr>
          <w:p w14:paraId="58702A46"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New business models / intermediary operators </w:t>
            </w:r>
          </w:p>
          <w:p w14:paraId="6212AACD"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 Bottlenecks, dominance and monopolies</w:t>
            </w:r>
          </w:p>
        </w:tc>
        <w:tc>
          <w:tcPr>
            <w:tcW w:w="4536" w:type="dxa"/>
          </w:tcPr>
          <w:p w14:paraId="012F5F7B"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Mission critical applications (e.g. e-health, and associated data) grow.  Value add comes from network effects (e.g. more user data) resulting in dominant players who may have incentives to frustrate access / sharing of their data. </w:t>
            </w:r>
          </w:p>
        </w:tc>
        <w:tc>
          <w:tcPr>
            <w:tcW w:w="4111" w:type="dxa"/>
          </w:tcPr>
          <w:p w14:paraId="116E9F78"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Study to consider how data economy, in terms of some key mission critical applications, may develop and possible measures to prevent bottlenecks, dominance and monopolies arising</w:t>
            </w:r>
          </w:p>
        </w:tc>
        <w:tc>
          <w:tcPr>
            <w:tcW w:w="3652" w:type="dxa"/>
          </w:tcPr>
          <w:p w14:paraId="5BE87165" w14:textId="77777777" w:rsidR="005B30D8" w:rsidRPr="00131399" w:rsidRDefault="005B30D8" w:rsidP="00BC0E65">
            <w:pPr>
              <w:rPr>
                <w:rFonts w:ascii="Arial" w:hAnsi="Arial" w:cs="Arial"/>
                <w:sz w:val="20"/>
                <w:szCs w:val="20"/>
                <w:lang w:val="en-GB"/>
              </w:rPr>
            </w:pPr>
          </w:p>
        </w:tc>
      </w:tr>
      <w:tr w:rsidR="005B30D8" w:rsidRPr="00116448" w14:paraId="0D5B2EC8" w14:textId="77777777" w:rsidTr="00CE4F6C">
        <w:trPr>
          <w:gridAfter w:val="1"/>
          <w:wAfter w:w="29" w:type="dxa"/>
        </w:trPr>
        <w:tc>
          <w:tcPr>
            <w:tcW w:w="534" w:type="dxa"/>
          </w:tcPr>
          <w:p w14:paraId="1936A248"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3</w:t>
            </w:r>
          </w:p>
        </w:tc>
        <w:tc>
          <w:tcPr>
            <w:tcW w:w="1734" w:type="dxa"/>
            <w:gridSpan w:val="2"/>
          </w:tcPr>
          <w:p w14:paraId="5FFC6724"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New business models / intermediary operators </w:t>
            </w:r>
          </w:p>
          <w:p w14:paraId="710DB8C0"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(ii) Enabling new models </w:t>
            </w:r>
          </w:p>
          <w:p w14:paraId="36759470" w14:textId="77777777" w:rsidR="005B30D8" w:rsidRPr="00131399" w:rsidRDefault="005B30D8" w:rsidP="00BC0E65">
            <w:pPr>
              <w:rPr>
                <w:rFonts w:ascii="Arial" w:hAnsi="Arial" w:cs="Arial"/>
                <w:sz w:val="20"/>
                <w:szCs w:val="20"/>
                <w:lang w:val="en-GB"/>
              </w:rPr>
            </w:pPr>
          </w:p>
        </w:tc>
        <w:tc>
          <w:tcPr>
            <w:tcW w:w="4536" w:type="dxa"/>
          </w:tcPr>
          <w:p w14:paraId="57CC5BBC"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Industry automation use case increase needs for access to radio spectrum by new micro-operators (plant wide operators), thus creating new business models. </w:t>
            </w:r>
          </w:p>
        </w:tc>
        <w:tc>
          <w:tcPr>
            <w:tcW w:w="4111" w:type="dxa"/>
          </w:tcPr>
          <w:p w14:paraId="55E82D56"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Study to consider the barriers to and benefits of enabling new business models (e.g. in terms of what new models may arise from 5G) </w:t>
            </w:r>
          </w:p>
        </w:tc>
        <w:tc>
          <w:tcPr>
            <w:tcW w:w="3652" w:type="dxa"/>
          </w:tcPr>
          <w:p w14:paraId="4720279D"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Reports by NRAs</w:t>
            </w:r>
          </w:p>
          <w:p w14:paraId="379C970A"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Other analyst reports </w:t>
            </w:r>
          </w:p>
        </w:tc>
      </w:tr>
      <w:tr w:rsidR="005B30D8" w:rsidRPr="00131399" w14:paraId="339B8BF3" w14:textId="77777777" w:rsidTr="00CE4F6C">
        <w:trPr>
          <w:gridAfter w:val="1"/>
          <w:wAfter w:w="29" w:type="dxa"/>
        </w:trPr>
        <w:tc>
          <w:tcPr>
            <w:tcW w:w="534" w:type="dxa"/>
          </w:tcPr>
          <w:p w14:paraId="6E8DA52F"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4</w:t>
            </w:r>
          </w:p>
        </w:tc>
        <w:tc>
          <w:tcPr>
            <w:tcW w:w="1734" w:type="dxa"/>
            <w:gridSpan w:val="2"/>
          </w:tcPr>
          <w:p w14:paraId="4B06FAA1"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New business models / intermediary operators </w:t>
            </w:r>
          </w:p>
          <w:p w14:paraId="65C9C462"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(iii) Network slices (or NN)</w:t>
            </w:r>
          </w:p>
        </w:tc>
        <w:tc>
          <w:tcPr>
            <w:tcW w:w="4536" w:type="dxa"/>
          </w:tcPr>
          <w:p w14:paraId="087FD1E6" w14:textId="0EB19B2B"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Industry automation</w:t>
            </w:r>
            <w:r w:rsidR="00321264" w:rsidRPr="00131399">
              <w:rPr>
                <w:rFonts w:ascii="Arial" w:hAnsi="Arial" w:cs="Arial"/>
                <w:sz w:val="20"/>
                <w:szCs w:val="20"/>
                <w:lang w:val="en-GB"/>
              </w:rPr>
              <w:t xml:space="preserve"> and other</w:t>
            </w:r>
            <w:r w:rsidRPr="00131399">
              <w:rPr>
                <w:rFonts w:ascii="Arial" w:hAnsi="Arial" w:cs="Arial"/>
                <w:sz w:val="20"/>
                <w:szCs w:val="20"/>
                <w:lang w:val="en-GB"/>
              </w:rPr>
              <w:t xml:space="preserve"> use cases</w:t>
            </w:r>
            <w:r w:rsidR="00321264" w:rsidRPr="00131399">
              <w:rPr>
                <w:rFonts w:ascii="Arial" w:hAnsi="Arial" w:cs="Arial"/>
                <w:sz w:val="20"/>
                <w:szCs w:val="20"/>
                <w:lang w:val="en-GB"/>
              </w:rPr>
              <w:t xml:space="preserve"> (health, gaming…) with specific URLL and bandwidth constraints) </w:t>
            </w:r>
            <w:r w:rsidR="007F34D6" w:rsidRPr="00131399">
              <w:rPr>
                <w:rFonts w:ascii="Arial" w:hAnsi="Arial" w:cs="Arial"/>
                <w:sz w:val="20"/>
                <w:szCs w:val="20"/>
                <w:lang w:val="en-GB"/>
              </w:rPr>
              <w:t>may</w:t>
            </w:r>
            <w:r w:rsidRPr="00131399">
              <w:rPr>
                <w:rFonts w:ascii="Arial" w:hAnsi="Arial" w:cs="Arial"/>
                <w:sz w:val="20"/>
                <w:szCs w:val="20"/>
                <w:lang w:val="en-GB"/>
              </w:rPr>
              <w:t xml:space="preserve"> increase demands for network slicing.  Network slicing is a concept for providing well-defined QoS to address customer-specific requirements of verticals (and others).</w:t>
            </w:r>
          </w:p>
        </w:tc>
        <w:tc>
          <w:tcPr>
            <w:tcW w:w="4111" w:type="dxa"/>
          </w:tcPr>
          <w:p w14:paraId="2AA4266B"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Study to examine Member States experiences with respect to issues around systems deployed using network slices</w:t>
            </w:r>
          </w:p>
        </w:tc>
        <w:tc>
          <w:tcPr>
            <w:tcW w:w="3652" w:type="dxa"/>
          </w:tcPr>
          <w:p w14:paraId="7662A3BF"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NRA coverage maps</w:t>
            </w:r>
          </w:p>
          <w:p w14:paraId="4130BE2A"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Reports by NRAs</w:t>
            </w:r>
          </w:p>
          <w:p w14:paraId="05FC1AC4"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Other analyst reports </w:t>
            </w:r>
          </w:p>
        </w:tc>
      </w:tr>
      <w:tr w:rsidR="005B30D8" w:rsidRPr="00116448" w14:paraId="46D5F5F6" w14:textId="77777777" w:rsidTr="00CE4F6C">
        <w:trPr>
          <w:gridAfter w:val="1"/>
          <w:wAfter w:w="29" w:type="dxa"/>
        </w:trPr>
        <w:tc>
          <w:tcPr>
            <w:tcW w:w="534" w:type="dxa"/>
          </w:tcPr>
          <w:p w14:paraId="58644EE2"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5</w:t>
            </w:r>
          </w:p>
        </w:tc>
        <w:tc>
          <w:tcPr>
            <w:tcW w:w="1734" w:type="dxa"/>
            <w:gridSpan w:val="2"/>
          </w:tcPr>
          <w:p w14:paraId="1B3326D2"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Quality of Service (cross border issues)</w:t>
            </w:r>
          </w:p>
        </w:tc>
        <w:tc>
          <w:tcPr>
            <w:tcW w:w="4536" w:type="dxa"/>
          </w:tcPr>
          <w:p w14:paraId="1464FD4A" w14:textId="77777777" w:rsidR="005B30D8" w:rsidRPr="00131399" w:rsidRDefault="005B30D8" w:rsidP="00BC0E65">
            <w:pPr>
              <w:rPr>
                <w:rFonts w:ascii="Arial" w:hAnsi="Arial" w:cs="Arial"/>
                <w:sz w:val="20"/>
                <w:szCs w:val="20"/>
                <w:lang w:val="en-GB"/>
              </w:rPr>
            </w:pPr>
            <w:proofErr w:type="spellStart"/>
            <w:r w:rsidRPr="00131399">
              <w:rPr>
                <w:rFonts w:ascii="Arial" w:hAnsi="Arial" w:cs="Arial"/>
                <w:sz w:val="20"/>
                <w:szCs w:val="20"/>
                <w:lang w:val="en-GB"/>
              </w:rPr>
              <w:t>Self driving</w:t>
            </w:r>
            <w:proofErr w:type="spellEnd"/>
            <w:r w:rsidRPr="00131399">
              <w:rPr>
                <w:rFonts w:ascii="Arial" w:hAnsi="Arial" w:cs="Arial"/>
                <w:sz w:val="20"/>
                <w:szCs w:val="20"/>
                <w:lang w:val="en-GB"/>
              </w:rPr>
              <w:t xml:space="preserve"> car (or new forms of track and trace services) use cases develop and require coherent and consistent application of regulation across borders. </w:t>
            </w:r>
          </w:p>
        </w:tc>
        <w:tc>
          <w:tcPr>
            <w:tcW w:w="4111" w:type="dxa"/>
          </w:tcPr>
          <w:p w14:paraId="0155BFCD" w14:textId="1EC9E01B" w:rsidR="005B30D8" w:rsidRPr="00131399" w:rsidRDefault="005B30D8" w:rsidP="005862F0">
            <w:pPr>
              <w:rPr>
                <w:rFonts w:ascii="Arial" w:hAnsi="Arial" w:cs="Arial"/>
                <w:sz w:val="20"/>
                <w:szCs w:val="20"/>
                <w:lang w:val="en-GB"/>
              </w:rPr>
            </w:pPr>
            <w:r w:rsidRPr="00131399">
              <w:rPr>
                <w:rFonts w:ascii="Arial" w:hAnsi="Arial" w:cs="Arial"/>
                <w:sz w:val="20"/>
                <w:szCs w:val="20"/>
                <w:lang w:val="en-GB"/>
              </w:rPr>
              <w:t>Study to analyse application of relevant regulations for pan-EU operators (e.g. operating services flowing across borders) and cross-border interoperability.</w:t>
            </w:r>
          </w:p>
        </w:tc>
        <w:tc>
          <w:tcPr>
            <w:tcW w:w="3652" w:type="dxa"/>
          </w:tcPr>
          <w:p w14:paraId="51ABCCA0" w14:textId="77777777" w:rsidR="005B30D8" w:rsidRPr="00131399" w:rsidRDefault="005B30D8" w:rsidP="00BC0E65">
            <w:pPr>
              <w:rPr>
                <w:rFonts w:ascii="Arial" w:hAnsi="Arial" w:cs="Arial"/>
                <w:sz w:val="20"/>
                <w:szCs w:val="20"/>
                <w:lang w:val="en-GB"/>
              </w:rPr>
            </w:pPr>
          </w:p>
        </w:tc>
      </w:tr>
      <w:tr w:rsidR="005B30D8" w:rsidRPr="00116448" w14:paraId="4C59FF91" w14:textId="77777777" w:rsidTr="00CE4F6C">
        <w:trPr>
          <w:gridAfter w:val="1"/>
          <w:wAfter w:w="29" w:type="dxa"/>
        </w:trPr>
        <w:tc>
          <w:tcPr>
            <w:tcW w:w="534" w:type="dxa"/>
          </w:tcPr>
          <w:p w14:paraId="39F93446"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lastRenderedPageBreak/>
              <w:t>6</w:t>
            </w:r>
          </w:p>
        </w:tc>
        <w:tc>
          <w:tcPr>
            <w:tcW w:w="1734" w:type="dxa"/>
            <w:gridSpan w:val="2"/>
          </w:tcPr>
          <w:p w14:paraId="28573CEB"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Numbering </w:t>
            </w:r>
          </w:p>
          <w:p w14:paraId="35C8D4E5"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 IoT/M2M related Numbering (E.164)</w:t>
            </w:r>
          </w:p>
        </w:tc>
        <w:tc>
          <w:tcPr>
            <w:tcW w:w="4536" w:type="dxa"/>
          </w:tcPr>
          <w:p w14:paraId="749C20A4"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Massive Machine Type Communications increase.  As a </w:t>
            </w:r>
            <w:proofErr w:type="gramStart"/>
            <w:r w:rsidRPr="00131399">
              <w:rPr>
                <w:rFonts w:ascii="Arial" w:hAnsi="Arial" w:cs="Arial"/>
                <w:sz w:val="20"/>
                <w:szCs w:val="20"/>
                <w:lang w:val="en-GB"/>
              </w:rPr>
              <w:t>result</w:t>
            </w:r>
            <w:proofErr w:type="gramEnd"/>
            <w:r w:rsidRPr="00131399">
              <w:rPr>
                <w:rFonts w:ascii="Arial" w:hAnsi="Arial" w:cs="Arial"/>
                <w:sz w:val="20"/>
                <w:szCs w:val="20"/>
                <w:lang w:val="en-GB"/>
              </w:rPr>
              <w:t xml:space="preserve"> demand for numbers for M2M communication increases (given the expected increase of number of connected devices).</w:t>
            </w:r>
          </w:p>
        </w:tc>
        <w:tc>
          <w:tcPr>
            <w:tcW w:w="4111" w:type="dxa"/>
          </w:tcPr>
          <w:p w14:paraId="249D3069" w14:textId="459A3CE1"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Study to examine implications on M2M </w:t>
            </w:r>
            <w:r w:rsidR="00076DF6" w:rsidRPr="00131399">
              <w:rPr>
                <w:rFonts w:ascii="Arial" w:hAnsi="Arial" w:cs="Arial"/>
                <w:sz w:val="20"/>
                <w:szCs w:val="20"/>
                <w:lang w:val="en-GB"/>
              </w:rPr>
              <w:t xml:space="preserve">of </w:t>
            </w:r>
            <w:proofErr w:type="gramStart"/>
            <w:r w:rsidRPr="00131399">
              <w:rPr>
                <w:rFonts w:ascii="Arial" w:hAnsi="Arial" w:cs="Arial"/>
                <w:sz w:val="20"/>
                <w:szCs w:val="20"/>
                <w:lang w:val="en-GB"/>
              </w:rPr>
              <w:t>sufficient</w:t>
            </w:r>
            <w:proofErr w:type="gramEnd"/>
            <w:r w:rsidRPr="00131399">
              <w:rPr>
                <w:rFonts w:ascii="Arial" w:hAnsi="Arial" w:cs="Arial"/>
                <w:sz w:val="20"/>
                <w:szCs w:val="20"/>
                <w:lang w:val="en-GB"/>
              </w:rPr>
              <w:t xml:space="preserve"> numbers </w:t>
            </w:r>
            <w:r w:rsidR="00076DF6" w:rsidRPr="00131399">
              <w:rPr>
                <w:rFonts w:ascii="Arial" w:hAnsi="Arial" w:cs="Arial"/>
                <w:sz w:val="20"/>
                <w:szCs w:val="20"/>
                <w:lang w:val="en-GB"/>
              </w:rPr>
              <w:t xml:space="preserve">being made </w:t>
            </w:r>
            <w:r w:rsidRPr="00131399">
              <w:rPr>
                <w:rFonts w:ascii="Arial" w:hAnsi="Arial" w:cs="Arial"/>
                <w:sz w:val="20"/>
                <w:szCs w:val="20"/>
                <w:lang w:val="en-GB"/>
              </w:rPr>
              <w:t>available (e.g. providing clear definitions of the different numbering categories, which may be available to users)</w:t>
            </w:r>
          </w:p>
        </w:tc>
        <w:tc>
          <w:tcPr>
            <w:tcW w:w="3652" w:type="dxa"/>
          </w:tcPr>
          <w:p w14:paraId="24F5903A"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CEPT Reports []</w:t>
            </w:r>
          </w:p>
          <w:p w14:paraId="3D56F74C" w14:textId="0B8D36EE" w:rsidR="0010695D" w:rsidRPr="00131399" w:rsidRDefault="0010695D" w:rsidP="00BC0E65">
            <w:pPr>
              <w:rPr>
                <w:rFonts w:ascii="Arial" w:hAnsi="Arial" w:cs="Arial"/>
                <w:sz w:val="20"/>
                <w:szCs w:val="20"/>
                <w:lang w:val="en-GB"/>
              </w:rPr>
            </w:pPr>
            <w:r w:rsidRPr="00131399">
              <w:rPr>
                <w:rFonts w:ascii="Arial" w:hAnsi="Arial" w:cs="Arial"/>
                <w:sz w:val="20"/>
                <w:szCs w:val="20"/>
                <w:lang w:val="en-GB"/>
              </w:rPr>
              <w:t>BEREC Work Item 2019</w:t>
            </w:r>
          </w:p>
        </w:tc>
      </w:tr>
      <w:tr w:rsidR="005B30D8" w:rsidRPr="00131399" w14:paraId="72264FF9" w14:textId="77777777" w:rsidTr="00CE4F6C">
        <w:trPr>
          <w:gridAfter w:val="1"/>
          <w:wAfter w:w="29" w:type="dxa"/>
        </w:trPr>
        <w:tc>
          <w:tcPr>
            <w:tcW w:w="534" w:type="dxa"/>
          </w:tcPr>
          <w:p w14:paraId="3DD3D1C8"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7</w:t>
            </w:r>
          </w:p>
        </w:tc>
        <w:tc>
          <w:tcPr>
            <w:tcW w:w="1734" w:type="dxa"/>
            <w:gridSpan w:val="2"/>
          </w:tcPr>
          <w:p w14:paraId="0223B11D"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Numbering</w:t>
            </w:r>
          </w:p>
          <w:p w14:paraId="2E4E55A4"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(ii) Mobile Network Codes (E.212)</w:t>
            </w:r>
          </w:p>
        </w:tc>
        <w:tc>
          <w:tcPr>
            <w:tcW w:w="4536" w:type="dxa"/>
          </w:tcPr>
          <w:p w14:paraId="0E383F96"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Verticals and intermediary operators may want to provide own SIM cards, leading to increased demand for MNCs. Regulation should ensure that </w:t>
            </w:r>
            <w:proofErr w:type="gramStart"/>
            <w:r w:rsidRPr="00131399">
              <w:rPr>
                <w:rFonts w:ascii="Arial" w:hAnsi="Arial" w:cs="Arial"/>
                <w:sz w:val="20"/>
                <w:szCs w:val="20"/>
                <w:lang w:val="en-GB"/>
              </w:rPr>
              <w:t>sufficient</w:t>
            </w:r>
            <w:proofErr w:type="gramEnd"/>
            <w:r w:rsidRPr="00131399">
              <w:rPr>
                <w:rFonts w:ascii="Arial" w:hAnsi="Arial" w:cs="Arial"/>
                <w:sz w:val="20"/>
                <w:szCs w:val="20"/>
                <w:lang w:val="en-GB"/>
              </w:rPr>
              <w:t xml:space="preserve"> national MNCs are available. (context: for IoT/M2M applications when E.212 MNCs are used, and when there is a need for extra-territorial use, also global MNCs under MCC 90x could be applied) </w:t>
            </w:r>
          </w:p>
        </w:tc>
        <w:tc>
          <w:tcPr>
            <w:tcW w:w="4111" w:type="dxa"/>
          </w:tcPr>
          <w:p w14:paraId="1EEC2128" w14:textId="0D36EA6B" w:rsidR="005B30D8" w:rsidRPr="00131399" w:rsidRDefault="007846B0" w:rsidP="005862F0">
            <w:pPr>
              <w:rPr>
                <w:rFonts w:ascii="Arial" w:hAnsi="Arial" w:cs="Arial"/>
                <w:sz w:val="20"/>
                <w:szCs w:val="20"/>
                <w:lang w:val="en-GB"/>
              </w:rPr>
            </w:pPr>
            <w:r w:rsidRPr="00131399">
              <w:rPr>
                <w:rFonts w:ascii="Arial" w:hAnsi="Arial" w:cs="Arial"/>
                <w:sz w:val="20"/>
                <w:szCs w:val="20"/>
                <w:lang w:val="en-GB"/>
              </w:rPr>
              <w:t xml:space="preserve">Engage CEPT. </w:t>
            </w:r>
            <w:r w:rsidR="005B30D8" w:rsidRPr="00131399">
              <w:rPr>
                <w:rFonts w:ascii="Arial" w:hAnsi="Arial" w:cs="Arial"/>
                <w:sz w:val="20"/>
                <w:szCs w:val="20"/>
                <w:lang w:val="en-GB"/>
              </w:rPr>
              <w:t xml:space="preserve">Study to consider </w:t>
            </w:r>
            <w:r w:rsidR="00473628" w:rsidRPr="00131399">
              <w:rPr>
                <w:rFonts w:ascii="Arial" w:hAnsi="Arial" w:cs="Arial"/>
                <w:sz w:val="20"/>
                <w:szCs w:val="20"/>
                <w:lang w:val="en-GB"/>
              </w:rPr>
              <w:t xml:space="preserve">reviewing </w:t>
            </w:r>
            <w:r w:rsidR="005B30D8" w:rsidRPr="00131399">
              <w:rPr>
                <w:rFonts w:ascii="Arial" w:hAnsi="Arial" w:cs="Arial"/>
                <w:sz w:val="20"/>
                <w:szCs w:val="20"/>
                <w:lang w:val="en-GB"/>
              </w:rPr>
              <w:t xml:space="preserve">the definition of operators as they have been the only ones that have had the right to obtain network codes. Develop the approach to network codes, as well as </w:t>
            </w:r>
            <w:r w:rsidR="00143555" w:rsidRPr="00131399">
              <w:rPr>
                <w:rFonts w:ascii="Arial" w:hAnsi="Arial" w:cs="Arial"/>
                <w:sz w:val="20"/>
                <w:szCs w:val="20"/>
                <w:lang w:val="en-GB"/>
              </w:rPr>
              <w:t xml:space="preserve">assessing the possibility to </w:t>
            </w:r>
            <w:r w:rsidR="005B30D8" w:rsidRPr="00131399">
              <w:rPr>
                <w:rFonts w:ascii="Arial" w:hAnsi="Arial" w:cs="Arial"/>
                <w:sz w:val="20"/>
                <w:szCs w:val="20"/>
                <w:lang w:val="en-GB"/>
              </w:rPr>
              <w:t>increase the number of network codes available</w:t>
            </w:r>
            <w:r w:rsidR="00861316" w:rsidRPr="00131399">
              <w:rPr>
                <w:rFonts w:ascii="Arial" w:hAnsi="Arial" w:cs="Arial"/>
                <w:sz w:val="20"/>
                <w:szCs w:val="20"/>
                <w:lang w:val="en-GB"/>
              </w:rPr>
              <w:t xml:space="preserve">, as well as the possible role of </w:t>
            </w:r>
            <w:proofErr w:type="spellStart"/>
            <w:r w:rsidR="00861316" w:rsidRPr="00131399">
              <w:rPr>
                <w:rFonts w:ascii="Arial" w:hAnsi="Arial" w:cs="Arial"/>
                <w:sz w:val="20"/>
                <w:szCs w:val="20"/>
                <w:lang w:val="en-GB"/>
              </w:rPr>
              <w:t>eSIMS</w:t>
            </w:r>
            <w:proofErr w:type="spellEnd"/>
          </w:p>
        </w:tc>
        <w:tc>
          <w:tcPr>
            <w:tcW w:w="3652" w:type="dxa"/>
          </w:tcPr>
          <w:p w14:paraId="1C84C3A9"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CEPT and ITU-T SG2 as responsible for the E.212 IUT-T Recommendation.</w:t>
            </w:r>
          </w:p>
          <w:p w14:paraId="63C0AFD4" w14:textId="2C52DF38" w:rsidR="0010695D" w:rsidRPr="00131399" w:rsidRDefault="0010695D" w:rsidP="00BC0E65">
            <w:pPr>
              <w:rPr>
                <w:rFonts w:ascii="Arial" w:hAnsi="Arial" w:cs="Arial"/>
                <w:sz w:val="20"/>
                <w:szCs w:val="20"/>
                <w:lang w:val="en-GB"/>
              </w:rPr>
            </w:pPr>
            <w:r w:rsidRPr="00131399">
              <w:rPr>
                <w:rFonts w:ascii="Arial" w:hAnsi="Arial" w:cs="Arial"/>
                <w:sz w:val="20"/>
                <w:szCs w:val="20"/>
                <w:lang w:val="en-GB"/>
              </w:rPr>
              <w:t>BEREC Work Item 2019</w:t>
            </w:r>
          </w:p>
        </w:tc>
      </w:tr>
      <w:tr w:rsidR="005B30D8" w:rsidRPr="00116448" w14:paraId="58F569BC" w14:textId="77777777" w:rsidTr="00CE4F6C">
        <w:trPr>
          <w:gridAfter w:val="1"/>
          <w:wAfter w:w="29" w:type="dxa"/>
        </w:trPr>
        <w:tc>
          <w:tcPr>
            <w:tcW w:w="534" w:type="dxa"/>
          </w:tcPr>
          <w:p w14:paraId="4C97A8DF"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8</w:t>
            </w:r>
          </w:p>
        </w:tc>
        <w:tc>
          <w:tcPr>
            <w:tcW w:w="1734" w:type="dxa"/>
            <w:gridSpan w:val="2"/>
          </w:tcPr>
          <w:p w14:paraId="71363E63"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Security</w:t>
            </w:r>
          </w:p>
        </w:tc>
        <w:tc>
          <w:tcPr>
            <w:tcW w:w="4536" w:type="dxa"/>
          </w:tcPr>
          <w:p w14:paraId="490451D4"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Smart city, industry automation, and mission critical applications (e.g. e-health) use cases develop and have very different security requirements:</w:t>
            </w:r>
          </w:p>
          <w:p w14:paraId="45C40137" w14:textId="77777777" w:rsidR="005B30D8" w:rsidRPr="00131399" w:rsidRDefault="005B30D8" w:rsidP="00002ACC">
            <w:pPr>
              <w:pStyle w:val="ListParagraph"/>
              <w:numPr>
                <w:ilvl w:val="1"/>
                <w:numId w:val="2"/>
              </w:numPr>
              <w:jc w:val="left"/>
              <w:rPr>
                <w:rFonts w:ascii="Arial" w:hAnsi="Arial" w:cs="Arial"/>
                <w:sz w:val="20"/>
                <w:szCs w:val="20"/>
                <w:lang w:val="en-GB"/>
              </w:rPr>
            </w:pPr>
            <w:r w:rsidRPr="00131399">
              <w:rPr>
                <w:rFonts w:ascii="Arial" w:hAnsi="Arial" w:cs="Arial"/>
                <w:sz w:val="20"/>
                <w:szCs w:val="20"/>
                <w:lang w:val="en-GB"/>
              </w:rPr>
              <w:t>Verticals’ security requirements</w:t>
            </w:r>
          </w:p>
          <w:p w14:paraId="0B6F7499" w14:textId="77777777" w:rsidR="005B30D8" w:rsidRPr="00131399" w:rsidRDefault="005B30D8" w:rsidP="00002ACC">
            <w:pPr>
              <w:pStyle w:val="ListParagraph"/>
              <w:numPr>
                <w:ilvl w:val="1"/>
                <w:numId w:val="2"/>
              </w:numPr>
              <w:shd w:val="clear" w:color="auto" w:fill="FFFFFF" w:themeFill="background1"/>
              <w:jc w:val="left"/>
              <w:rPr>
                <w:rFonts w:ascii="Arial" w:hAnsi="Arial" w:cs="Arial"/>
                <w:sz w:val="20"/>
                <w:szCs w:val="20"/>
                <w:lang w:val="en-GB"/>
              </w:rPr>
            </w:pPr>
            <w:r w:rsidRPr="00131399">
              <w:rPr>
                <w:rFonts w:ascii="Arial" w:hAnsi="Arial" w:cs="Arial"/>
                <w:sz w:val="20"/>
                <w:szCs w:val="20"/>
                <w:lang w:val="en-GB"/>
              </w:rPr>
              <w:t xml:space="preserve">End </w:t>
            </w:r>
            <w:proofErr w:type="gramStart"/>
            <w:r w:rsidRPr="00131399">
              <w:rPr>
                <w:rFonts w:ascii="Arial" w:hAnsi="Arial" w:cs="Arial"/>
                <w:sz w:val="20"/>
                <w:szCs w:val="20"/>
                <w:lang w:val="en-GB"/>
              </w:rPr>
              <w:t>Customers‘ security</w:t>
            </w:r>
            <w:proofErr w:type="gramEnd"/>
            <w:r w:rsidRPr="00131399">
              <w:rPr>
                <w:rFonts w:ascii="Arial" w:hAnsi="Arial" w:cs="Arial"/>
                <w:sz w:val="20"/>
                <w:szCs w:val="20"/>
                <w:lang w:val="en-GB"/>
              </w:rPr>
              <w:t xml:space="preserve"> requirements</w:t>
            </w:r>
          </w:p>
          <w:p w14:paraId="4DD8CE59" w14:textId="77777777" w:rsidR="005B30D8" w:rsidRPr="00131399" w:rsidRDefault="005B30D8" w:rsidP="00002ACC">
            <w:pPr>
              <w:pStyle w:val="ListParagraph"/>
              <w:numPr>
                <w:ilvl w:val="1"/>
                <w:numId w:val="2"/>
              </w:numPr>
              <w:jc w:val="left"/>
              <w:rPr>
                <w:rFonts w:ascii="Arial" w:hAnsi="Arial" w:cs="Arial"/>
                <w:sz w:val="20"/>
                <w:szCs w:val="20"/>
                <w:lang w:val="en-GB"/>
              </w:rPr>
            </w:pPr>
            <w:r w:rsidRPr="00131399">
              <w:rPr>
                <w:rFonts w:ascii="Arial" w:hAnsi="Arial" w:cs="Arial"/>
                <w:sz w:val="20"/>
                <w:szCs w:val="20"/>
                <w:lang w:val="en-GB"/>
              </w:rPr>
              <w:t>Providers’ security requirements</w:t>
            </w:r>
          </w:p>
          <w:p w14:paraId="11711216" w14:textId="77777777" w:rsidR="005B30D8" w:rsidRPr="00131399" w:rsidRDefault="005B30D8" w:rsidP="00002ACC">
            <w:pPr>
              <w:pStyle w:val="ListParagraph"/>
              <w:numPr>
                <w:ilvl w:val="1"/>
                <w:numId w:val="2"/>
              </w:numPr>
              <w:jc w:val="left"/>
              <w:rPr>
                <w:rFonts w:ascii="Arial" w:hAnsi="Arial" w:cs="Arial"/>
                <w:sz w:val="20"/>
                <w:szCs w:val="20"/>
                <w:lang w:val="en-GB"/>
              </w:rPr>
            </w:pPr>
            <w:r w:rsidRPr="00131399">
              <w:rPr>
                <w:rFonts w:ascii="Arial" w:hAnsi="Arial" w:cs="Arial"/>
                <w:sz w:val="20"/>
                <w:szCs w:val="20"/>
                <w:lang w:val="en-GB"/>
              </w:rPr>
              <w:t>Other players’ security requirements (data aggregators, software vendors, …)</w:t>
            </w:r>
          </w:p>
          <w:p w14:paraId="39CFA318" w14:textId="77777777" w:rsidR="005B30D8" w:rsidRPr="00131399" w:rsidRDefault="005B30D8" w:rsidP="00002ACC">
            <w:pPr>
              <w:pStyle w:val="ListParagraph"/>
              <w:numPr>
                <w:ilvl w:val="1"/>
                <w:numId w:val="2"/>
              </w:numPr>
              <w:jc w:val="left"/>
              <w:rPr>
                <w:rFonts w:ascii="Arial" w:hAnsi="Arial" w:cs="Arial"/>
                <w:sz w:val="20"/>
                <w:szCs w:val="20"/>
                <w:lang w:val="en-GB"/>
              </w:rPr>
            </w:pPr>
            <w:r w:rsidRPr="00131399">
              <w:rPr>
                <w:rFonts w:ascii="Arial" w:hAnsi="Arial" w:cs="Arial"/>
                <w:sz w:val="20"/>
                <w:szCs w:val="20"/>
                <w:lang w:val="en-GB"/>
              </w:rPr>
              <w:t xml:space="preserve">Governmental security requirements </w:t>
            </w:r>
          </w:p>
        </w:tc>
        <w:tc>
          <w:tcPr>
            <w:tcW w:w="4111" w:type="dxa"/>
          </w:tcPr>
          <w:p w14:paraId="6DB0A609"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Study to analyse how security issues may affect 5G value chains.</w:t>
            </w:r>
          </w:p>
        </w:tc>
        <w:tc>
          <w:tcPr>
            <w:tcW w:w="3652" w:type="dxa"/>
          </w:tcPr>
          <w:p w14:paraId="2CDE8AB3"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Reports by other competent authorities</w:t>
            </w:r>
          </w:p>
          <w:p w14:paraId="707BD05D"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ENISA reports</w:t>
            </w:r>
          </w:p>
        </w:tc>
      </w:tr>
      <w:tr w:rsidR="005B30D8" w:rsidRPr="00116448" w14:paraId="7F5C51CB" w14:textId="77777777" w:rsidTr="00CE4F6C">
        <w:trPr>
          <w:gridAfter w:val="1"/>
          <w:wAfter w:w="29" w:type="dxa"/>
        </w:trPr>
        <w:tc>
          <w:tcPr>
            <w:tcW w:w="534" w:type="dxa"/>
          </w:tcPr>
          <w:p w14:paraId="6D2BB9BB"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9</w:t>
            </w:r>
          </w:p>
        </w:tc>
        <w:tc>
          <w:tcPr>
            <w:tcW w:w="1734" w:type="dxa"/>
            <w:gridSpan w:val="2"/>
          </w:tcPr>
          <w:p w14:paraId="41812B1A"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Interoperability</w:t>
            </w:r>
          </w:p>
          <w:p w14:paraId="135F5B24"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lastRenderedPageBreak/>
              <w:t>(i) Different players / vendor lock in</w:t>
            </w:r>
          </w:p>
        </w:tc>
        <w:tc>
          <w:tcPr>
            <w:tcW w:w="4536" w:type="dxa"/>
          </w:tcPr>
          <w:p w14:paraId="4C382D9F"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lastRenderedPageBreak/>
              <w:t xml:space="preserve">Industry automation services develop, and which require defined Quality of Service. Lack of </w:t>
            </w:r>
            <w:r w:rsidRPr="00131399">
              <w:rPr>
                <w:rFonts w:ascii="Arial" w:hAnsi="Arial" w:cs="Arial"/>
                <w:sz w:val="20"/>
                <w:szCs w:val="20"/>
                <w:lang w:val="en-GB"/>
              </w:rPr>
              <w:lastRenderedPageBreak/>
              <w:t>transparency around QoS could result in vendor lock in (e.g. can verticals switch to new service providers whether WISPs, MNOs, MVNOs, micro-operators or fixed providers)</w:t>
            </w:r>
          </w:p>
        </w:tc>
        <w:tc>
          <w:tcPr>
            <w:tcW w:w="4111" w:type="dxa"/>
          </w:tcPr>
          <w:p w14:paraId="223B19C9"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lastRenderedPageBreak/>
              <w:t xml:space="preserve">Study to consider potential interoperability issues in 5G having regard to convergence </w:t>
            </w:r>
            <w:r w:rsidRPr="00131399">
              <w:rPr>
                <w:rFonts w:ascii="Arial" w:hAnsi="Arial" w:cs="Arial"/>
                <w:sz w:val="20"/>
                <w:szCs w:val="20"/>
                <w:lang w:val="en-GB"/>
              </w:rPr>
              <w:lastRenderedPageBreak/>
              <w:t>between fixed and wireless providers including new micro-operators (e.g. plant wide wireless providers).</w:t>
            </w:r>
          </w:p>
        </w:tc>
        <w:tc>
          <w:tcPr>
            <w:tcW w:w="3652" w:type="dxa"/>
          </w:tcPr>
          <w:p w14:paraId="5058F282" w14:textId="77777777" w:rsidR="005B30D8" w:rsidRPr="00131399" w:rsidRDefault="005B30D8" w:rsidP="00BC0E65">
            <w:pPr>
              <w:rPr>
                <w:rFonts w:ascii="Arial" w:hAnsi="Arial" w:cs="Arial"/>
                <w:sz w:val="20"/>
                <w:szCs w:val="20"/>
                <w:lang w:val="en-GB"/>
              </w:rPr>
            </w:pPr>
          </w:p>
        </w:tc>
      </w:tr>
      <w:tr w:rsidR="005B30D8" w:rsidRPr="00116448" w14:paraId="669E2D1C" w14:textId="77777777" w:rsidTr="00CE4F6C">
        <w:trPr>
          <w:gridAfter w:val="1"/>
          <w:wAfter w:w="29" w:type="dxa"/>
        </w:trPr>
        <w:tc>
          <w:tcPr>
            <w:tcW w:w="534" w:type="dxa"/>
          </w:tcPr>
          <w:p w14:paraId="034406E4"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10</w:t>
            </w:r>
          </w:p>
        </w:tc>
        <w:tc>
          <w:tcPr>
            <w:tcW w:w="1734" w:type="dxa"/>
            <w:gridSpan w:val="2"/>
          </w:tcPr>
          <w:p w14:paraId="63C9119F"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Interoperability</w:t>
            </w:r>
          </w:p>
          <w:p w14:paraId="33B5F4D4"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(ii) Societal perspectives from various use cases</w:t>
            </w:r>
          </w:p>
        </w:tc>
        <w:tc>
          <w:tcPr>
            <w:tcW w:w="4536" w:type="dxa"/>
          </w:tcPr>
          <w:p w14:paraId="667E415B" w14:textId="3B717590" w:rsidR="005B30D8" w:rsidRPr="00131399" w:rsidRDefault="005B30D8" w:rsidP="00BC0E65">
            <w:pPr>
              <w:rPr>
                <w:rFonts w:ascii="Arial" w:hAnsi="Arial" w:cs="Arial"/>
                <w:sz w:val="20"/>
                <w:szCs w:val="20"/>
                <w:lang w:val="en-GB"/>
              </w:rPr>
            </w:pPr>
            <w:proofErr w:type="spellStart"/>
            <w:r w:rsidRPr="00131399">
              <w:rPr>
                <w:rFonts w:ascii="Arial" w:hAnsi="Arial" w:cs="Arial"/>
                <w:sz w:val="20"/>
                <w:szCs w:val="20"/>
                <w:lang w:val="en-GB"/>
              </w:rPr>
              <w:t>Self driving</w:t>
            </w:r>
            <w:proofErr w:type="spellEnd"/>
            <w:r w:rsidRPr="00131399">
              <w:rPr>
                <w:rFonts w:ascii="Arial" w:hAnsi="Arial" w:cs="Arial"/>
                <w:sz w:val="20"/>
                <w:szCs w:val="20"/>
                <w:lang w:val="en-GB"/>
              </w:rPr>
              <w:t xml:space="preserve"> cars from different manufactures need </w:t>
            </w:r>
            <w:r w:rsidR="00A441D7" w:rsidRPr="00131399">
              <w:rPr>
                <w:rFonts w:ascii="Arial" w:hAnsi="Arial" w:cs="Arial"/>
                <w:sz w:val="20"/>
                <w:szCs w:val="20"/>
                <w:lang w:val="en-GB"/>
              </w:rPr>
              <w:t xml:space="preserve">to </w:t>
            </w:r>
            <w:r w:rsidRPr="00131399">
              <w:rPr>
                <w:rFonts w:ascii="Arial" w:hAnsi="Arial" w:cs="Arial"/>
                <w:sz w:val="20"/>
                <w:szCs w:val="20"/>
                <w:lang w:val="en-GB"/>
              </w:rPr>
              <w:t xml:space="preserve">communicate with each other </w:t>
            </w:r>
            <w:r w:rsidR="00A441D7" w:rsidRPr="00131399">
              <w:rPr>
                <w:rFonts w:ascii="Arial" w:hAnsi="Arial" w:cs="Arial"/>
                <w:sz w:val="20"/>
                <w:szCs w:val="20"/>
                <w:lang w:val="en-GB"/>
              </w:rPr>
              <w:t>for reasons of</w:t>
            </w:r>
            <w:r w:rsidRPr="00131399">
              <w:rPr>
                <w:rFonts w:ascii="Arial" w:hAnsi="Arial" w:cs="Arial"/>
                <w:sz w:val="20"/>
                <w:szCs w:val="20"/>
                <w:lang w:val="en-GB"/>
              </w:rPr>
              <w:t xml:space="preserve"> traffic safety.  </w:t>
            </w:r>
          </w:p>
          <w:p w14:paraId="149E1FD2" w14:textId="77777777"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 xml:space="preserve">(Another example: Smart home/building use cases </w:t>
            </w:r>
            <w:proofErr w:type="gramStart"/>
            <w:r w:rsidRPr="00131399">
              <w:rPr>
                <w:rFonts w:ascii="Arial" w:hAnsi="Arial" w:cs="Arial"/>
                <w:sz w:val="20"/>
                <w:szCs w:val="20"/>
                <w:lang w:val="en-GB"/>
              </w:rPr>
              <w:t>increase</w:t>
            </w:r>
            <w:proofErr w:type="gramEnd"/>
            <w:r w:rsidRPr="00131399">
              <w:rPr>
                <w:rFonts w:ascii="Arial" w:hAnsi="Arial" w:cs="Arial"/>
                <w:sz w:val="20"/>
                <w:szCs w:val="20"/>
                <w:lang w:val="en-GB"/>
              </w:rPr>
              <w:t xml:space="preserve"> and data harvesting needs to be shared to improve energy efficiency) </w:t>
            </w:r>
          </w:p>
        </w:tc>
        <w:tc>
          <w:tcPr>
            <w:tcW w:w="4111" w:type="dxa"/>
          </w:tcPr>
          <w:p w14:paraId="11377403" w14:textId="2585128E" w:rsidR="005B30D8" w:rsidRPr="00131399" w:rsidRDefault="005B30D8" w:rsidP="00BC0E65">
            <w:pPr>
              <w:rPr>
                <w:rFonts w:ascii="Arial" w:hAnsi="Arial" w:cs="Arial"/>
                <w:sz w:val="20"/>
                <w:szCs w:val="20"/>
                <w:lang w:val="en-GB"/>
              </w:rPr>
            </w:pPr>
            <w:r w:rsidRPr="00131399">
              <w:rPr>
                <w:rFonts w:ascii="Arial" w:hAnsi="Arial" w:cs="Arial"/>
                <w:sz w:val="20"/>
                <w:szCs w:val="20"/>
                <w:lang w:val="en-GB"/>
              </w:rPr>
              <w:t>Study to examine how traffic safety information from vehicles of different manufactures could be appropriately aggregated and made interoperable for the benefit of users</w:t>
            </w:r>
            <w:r w:rsidR="00A441D7" w:rsidRPr="00131399">
              <w:rPr>
                <w:rFonts w:ascii="Arial" w:hAnsi="Arial" w:cs="Arial"/>
                <w:sz w:val="20"/>
                <w:szCs w:val="20"/>
                <w:lang w:val="en-GB"/>
              </w:rPr>
              <w:t xml:space="preserve"> and the system to work</w:t>
            </w:r>
            <w:r w:rsidR="00913CAF" w:rsidRPr="00131399">
              <w:rPr>
                <w:rFonts w:ascii="Arial" w:hAnsi="Arial" w:cs="Arial"/>
                <w:sz w:val="20"/>
                <w:szCs w:val="20"/>
                <w:lang w:val="en-GB"/>
              </w:rPr>
              <w:t>.</w:t>
            </w:r>
          </w:p>
        </w:tc>
        <w:tc>
          <w:tcPr>
            <w:tcW w:w="3652" w:type="dxa"/>
          </w:tcPr>
          <w:p w14:paraId="176A5DD3" w14:textId="77777777" w:rsidR="005B30D8" w:rsidRPr="00131399" w:rsidRDefault="005B30D8" w:rsidP="00BC0E65">
            <w:pPr>
              <w:rPr>
                <w:rFonts w:ascii="Arial" w:hAnsi="Arial" w:cs="Arial"/>
                <w:sz w:val="20"/>
                <w:szCs w:val="20"/>
                <w:lang w:val="en-GB"/>
              </w:rPr>
            </w:pPr>
          </w:p>
        </w:tc>
      </w:tr>
      <w:tr w:rsidR="005B30D8" w:rsidRPr="00116448" w14:paraId="601CAF71" w14:textId="77777777" w:rsidTr="00CE4F6C">
        <w:trPr>
          <w:gridAfter w:val="1"/>
          <w:wAfter w:w="29" w:type="dxa"/>
        </w:trPr>
        <w:tc>
          <w:tcPr>
            <w:tcW w:w="534" w:type="dxa"/>
          </w:tcPr>
          <w:p w14:paraId="23A7DDE4" w14:textId="77777777" w:rsidR="005B30D8" w:rsidRPr="00131399" w:rsidRDefault="005B30D8" w:rsidP="00BC0E65">
            <w:pPr>
              <w:rPr>
                <w:rFonts w:ascii="Arial" w:hAnsi="Arial" w:cs="Arial"/>
                <w:color w:val="FF0000"/>
                <w:sz w:val="20"/>
                <w:szCs w:val="20"/>
                <w:lang w:val="en-GB"/>
              </w:rPr>
            </w:pPr>
            <w:r w:rsidRPr="00131399">
              <w:rPr>
                <w:rFonts w:ascii="Arial" w:hAnsi="Arial" w:cs="Arial"/>
                <w:color w:val="FF0000"/>
                <w:sz w:val="20"/>
                <w:szCs w:val="20"/>
                <w:lang w:val="en-GB"/>
              </w:rPr>
              <w:t>[…]</w:t>
            </w:r>
          </w:p>
        </w:tc>
        <w:tc>
          <w:tcPr>
            <w:tcW w:w="1734" w:type="dxa"/>
            <w:gridSpan w:val="2"/>
          </w:tcPr>
          <w:p w14:paraId="79F82FD8" w14:textId="77777777" w:rsidR="005B30D8" w:rsidRPr="00131399" w:rsidRDefault="005B30D8" w:rsidP="00BC0E65">
            <w:pPr>
              <w:rPr>
                <w:rFonts w:ascii="Arial" w:hAnsi="Arial" w:cs="Arial"/>
                <w:sz w:val="20"/>
                <w:szCs w:val="20"/>
                <w:lang w:val="en-GB"/>
              </w:rPr>
            </w:pPr>
            <w:r w:rsidRPr="00131399">
              <w:rPr>
                <w:rFonts w:ascii="Arial" w:hAnsi="Arial" w:cs="Arial"/>
                <w:color w:val="FF0000"/>
                <w:sz w:val="20"/>
                <w:szCs w:val="20"/>
                <w:lang w:val="en-GB"/>
              </w:rPr>
              <w:t>[please add to draft list]</w:t>
            </w:r>
          </w:p>
        </w:tc>
        <w:tc>
          <w:tcPr>
            <w:tcW w:w="4536" w:type="dxa"/>
          </w:tcPr>
          <w:p w14:paraId="41505E44" w14:textId="77777777" w:rsidR="005B30D8" w:rsidRPr="00131399" w:rsidRDefault="005B30D8" w:rsidP="00BC0E65">
            <w:pPr>
              <w:rPr>
                <w:rFonts w:ascii="Arial" w:hAnsi="Arial" w:cs="Arial"/>
                <w:sz w:val="20"/>
                <w:szCs w:val="20"/>
                <w:lang w:val="en-GB"/>
              </w:rPr>
            </w:pPr>
            <w:r w:rsidRPr="00131399">
              <w:rPr>
                <w:rFonts w:ascii="Arial" w:hAnsi="Arial" w:cs="Arial"/>
                <w:color w:val="FF0000"/>
                <w:sz w:val="20"/>
                <w:szCs w:val="20"/>
                <w:lang w:val="en-GB"/>
              </w:rPr>
              <w:t xml:space="preserve">[please briefly define why 5G could impact this item] </w:t>
            </w:r>
          </w:p>
        </w:tc>
        <w:tc>
          <w:tcPr>
            <w:tcW w:w="4111" w:type="dxa"/>
          </w:tcPr>
          <w:p w14:paraId="433D26A7" w14:textId="77777777" w:rsidR="005B30D8" w:rsidRPr="00131399" w:rsidRDefault="005B30D8" w:rsidP="00BC0E65">
            <w:pPr>
              <w:rPr>
                <w:rFonts w:ascii="Arial" w:hAnsi="Arial" w:cs="Arial"/>
                <w:color w:val="FF0000"/>
                <w:sz w:val="20"/>
                <w:szCs w:val="20"/>
                <w:lang w:val="en-GB"/>
              </w:rPr>
            </w:pPr>
            <w:r w:rsidRPr="00131399">
              <w:rPr>
                <w:rFonts w:ascii="Arial" w:hAnsi="Arial" w:cs="Arial"/>
                <w:color w:val="FF0000"/>
                <w:sz w:val="20"/>
                <w:szCs w:val="20"/>
                <w:lang w:val="en-GB"/>
              </w:rPr>
              <w:t xml:space="preserve">[please set out a possible line of enquiry] </w:t>
            </w:r>
          </w:p>
        </w:tc>
        <w:tc>
          <w:tcPr>
            <w:tcW w:w="3652" w:type="dxa"/>
          </w:tcPr>
          <w:p w14:paraId="1C00A73E" w14:textId="77777777" w:rsidR="005B30D8" w:rsidRPr="00131399" w:rsidRDefault="005B30D8" w:rsidP="00BC0E65">
            <w:pPr>
              <w:rPr>
                <w:rFonts w:ascii="Arial" w:hAnsi="Arial" w:cs="Arial"/>
                <w:color w:val="FF0000"/>
                <w:sz w:val="20"/>
                <w:szCs w:val="20"/>
                <w:lang w:val="en-GB"/>
              </w:rPr>
            </w:pPr>
            <w:r w:rsidRPr="00131399">
              <w:rPr>
                <w:rFonts w:ascii="Arial" w:hAnsi="Arial" w:cs="Arial"/>
                <w:color w:val="FF0000"/>
                <w:sz w:val="20"/>
                <w:szCs w:val="20"/>
                <w:lang w:val="en-GB"/>
              </w:rPr>
              <w:t>[please provide any relevant information]</w:t>
            </w:r>
          </w:p>
        </w:tc>
      </w:tr>
    </w:tbl>
    <w:p w14:paraId="47836B8D" w14:textId="77777777" w:rsidR="00002ACC" w:rsidRPr="00131399" w:rsidRDefault="00002ACC" w:rsidP="00002ACC">
      <w:pPr>
        <w:rPr>
          <w:rFonts w:ascii="Arial" w:hAnsi="Arial" w:cs="Arial"/>
          <w:sz w:val="20"/>
          <w:szCs w:val="20"/>
          <w:lang w:val="en-GB"/>
        </w:rPr>
      </w:pPr>
    </w:p>
    <w:p w14:paraId="17C1D079" w14:textId="4D161211" w:rsidR="00002ACC" w:rsidRPr="00131399" w:rsidRDefault="00002ACC" w:rsidP="00002ACC">
      <w:pPr>
        <w:rPr>
          <w:rFonts w:ascii="Arial" w:hAnsi="Arial" w:cs="Arial"/>
          <w:sz w:val="20"/>
          <w:szCs w:val="20"/>
          <w:lang w:val="en-GB"/>
        </w:rPr>
      </w:pPr>
      <w:r w:rsidRPr="00131399">
        <w:rPr>
          <w:rFonts w:ascii="Arial" w:hAnsi="Arial" w:cs="Arial"/>
          <w:sz w:val="20"/>
          <w:szCs w:val="20"/>
          <w:lang w:val="en-GB"/>
        </w:rPr>
        <w:t>The working group considers that the above issues would also depend on the “Rollout” dimension. Table below sets out a draft list of items specifically related to rollout.</w:t>
      </w:r>
    </w:p>
    <w:tbl>
      <w:tblPr>
        <w:tblW w:w="1495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499"/>
        <w:gridCol w:w="1678"/>
        <w:gridCol w:w="4559"/>
        <w:gridCol w:w="4110"/>
        <w:gridCol w:w="4110"/>
      </w:tblGrid>
      <w:tr w:rsidR="005B30D8" w:rsidRPr="00116448" w14:paraId="2765A733" w14:textId="77777777" w:rsidTr="005B30D8">
        <w:tc>
          <w:tcPr>
            <w:tcW w:w="499" w:type="dxa"/>
            <w:tcBorders>
              <w:bottom w:val="double" w:sz="4" w:space="0" w:color="auto"/>
              <w:right w:val="double" w:sz="4" w:space="0" w:color="auto"/>
            </w:tcBorders>
            <w:shd w:val="clear" w:color="auto" w:fill="FFFF99"/>
          </w:tcPr>
          <w:p w14:paraId="7A174824" w14:textId="77777777" w:rsidR="005B30D8" w:rsidRPr="00131399" w:rsidRDefault="005B30D8" w:rsidP="00BC0E65">
            <w:pPr>
              <w:jc w:val="left"/>
              <w:rPr>
                <w:rFonts w:ascii="Arial" w:hAnsi="Arial" w:cs="Arial"/>
                <w:b/>
                <w:sz w:val="20"/>
                <w:szCs w:val="20"/>
                <w:lang w:val="en-GB"/>
              </w:rPr>
            </w:pPr>
          </w:p>
        </w:tc>
        <w:tc>
          <w:tcPr>
            <w:tcW w:w="1678" w:type="dxa"/>
            <w:tcBorders>
              <w:bottom w:val="double" w:sz="4" w:space="0" w:color="auto"/>
              <w:right w:val="double" w:sz="4" w:space="0" w:color="auto"/>
            </w:tcBorders>
            <w:shd w:val="clear" w:color="auto" w:fill="FFFF99"/>
            <w:tcMar>
              <w:top w:w="36" w:type="dxa"/>
              <w:left w:w="73" w:type="dxa"/>
              <w:bottom w:w="36" w:type="dxa"/>
              <w:right w:w="73" w:type="dxa"/>
            </w:tcMar>
          </w:tcPr>
          <w:p w14:paraId="6A379898" w14:textId="415124EB" w:rsidR="005B30D8" w:rsidRPr="00131399" w:rsidRDefault="005B30D8" w:rsidP="00BC0E65">
            <w:pPr>
              <w:jc w:val="left"/>
              <w:rPr>
                <w:rFonts w:ascii="Arial" w:hAnsi="Arial" w:cs="Arial"/>
                <w:b/>
                <w:sz w:val="20"/>
                <w:szCs w:val="20"/>
                <w:lang w:val="en-GB"/>
              </w:rPr>
            </w:pPr>
            <w:r w:rsidRPr="00131399">
              <w:rPr>
                <w:rFonts w:ascii="Arial" w:hAnsi="Arial" w:cs="Arial"/>
                <w:b/>
                <w:sz w:val="20"/>
                <w:szCs w:val="20"/>
                <w:lang w:val="en-GB"/>
              </w:rPr>
              <w:t>Draft list (some items identified)</w:t>
            </w:r>
          </w:p>
        </w:tc>
        <w:tc>
          <w:tcPr>
            <w:tcW w:w="4559" w:type="dxa"/>
            <w:tcBorders>
              <w:left w:val="double" w:sz="4" w:space="0" w:color="auto"/>
              <w:bottom w:val="double" w:sz="4" w:space="0" w:color="auto"/>
            </w:tcBorders>
            <w:shd w:val="clear" w:color="auto" w:fill="FFFF99"/>
          </w:tcPr>
          <w:p w14:paraId="71E5E14C" w14:textId="610211BA" w:rsidR="005B30D8" w:rsidRPr="00131399" w:rsidRDefault="005B30D8" w:rsidP="00BC0E65">
            <w:pPr>
              <w:jc w:val="left"/>
              <w:rPr>
                <w:rFonts w:ascii="Arial" w:hAnsi="Arial" w:cs="Arial"/>
                <w:b/>
                <w:sz w:val="20"/>
                <w:szCs w:val="20"/>
                <w:lang w:val="en-GB"/>
              </w:rPr>
            </w:pPr>
            <w:r w:rsidRPr="00131399">
              <w:rPr>
                <w:rFonts w:ascii="Arial" w:hAnsi="Arial" w:cs="Arial"/>
                <w:b/>
                <w:sz w:val="20"/>
                <w:szCs w:val="20"/>
                <w:lang w:val="en-GB"/>
              </w:rPr>
              <w:t xml:space="preserve">An example of why 5G could impact this?  (please note we would intend to consider ‘how’ 5G might impact in more detail in due course) </w:t>
            </w:r>
          </w:p>
        </w:tc>
        <w:tc>
          <w:tcPr>
            <w:tcW w:w="4110" w:type="dxa"/>
            <w:tcBorders>
              <w:bottom w:val="double" w:sz="4" w:space="0" w:color="auto"/>
            </w:tcBorders>
            <w:shd w:val="clear" w:color="auto" w:fill="FFFF99"/>
          </w:tcPr>
          <w:p w14:paraId="1B0117E6" w14:textId="276EFBEA" w:rsidR="005B30D8" w:rsidRPr="00131399" w:rsidRDefault="005B30D8" w:rsidP="00BC0E65">
            <w:pPr>
              <w:jc w:val="left"/>
              <w:rPr>
                <w:rFonts w:ascii="Arial" w:hAnsi="Arial" w:cs="Arial"/>
                <w:b/>
                <w:sz w:val="20"/>
                <w:szCs w:val="20"/>
                <w:lang w:val="en-GB"/>
              </w:rPr>
            </w:pPr>
            <w:r w:rsidRPr="00131399">
              <w:rPr>
                <w:rFonts w:ascii="Arial" w:hAnsi="Arial" w:cs="Arial"/>
                <w:b/>
                <w:sz w:val="20"/>
                <w:szCs w:val="20"/>
                <w:lang w:val="en-GB"/>
              </w:rPr>
              <w:t xml:space="preserve">Possible enquiry area (please provide views) </w:t>
            </w:r>
          </w:p>
        </w:tc>
        <w:tc>
          <w:tcPr>
            <w:tcW w:w="4110" w:type="dxa"/>
            <w:tcBorders>
              <w:bottom w:val="double" w:sz="4" w:space="0" w:color="auto"/>
            </w:tcBorders>
            <w:shd w:val="clear" w:color="auto" w:fill="FFFF99"/>
          </w:tcPr>
          <w:p w14:paraId="13FE8CA1" w14:textId="67C316B3" w:rsidR="005B30D8" w:rsidRPr="00131399" w:rsidRDefault="005B30D8" w:rsidP="00BC0E65">
            <w:pPr>
              <w:jc w:val="left"/>
              <w:rPr>
                <w:rFonts w:ascii="Arial" w:hAnsi="Arial" w:cs="Arial"/>
                <w:b/>
                <w:sz w:val="20"/>
                <w:szCs w:val="20"/>
                <w:lang w:val="en-GB"/>
              </w:rPr>
            </w:pPr>
            <w:r w:rsidRPr="00131399">
              <w:rPr>
                <w:rFonts w:ascii="Arial" w:hAnsi="Arial" w:cs="Arial"/>
                <w:b/>
                <w:sz w:val="20"/>
                <w:szCs w:val="20"/>
                <w:lang w:val="en-GB"/>
              </w:rPr>
              <w:t xml:space="preserve">What information may be available to us? </w:t>
            </w:r>
          </w:p>
        </w:tc>
      </w:tr>
      <w:tr w:rsidR="005B30D8" w:rsidRPr="00116448" w14:paraId="416EF047" w14:textId="12E80BC2" w:rsidTr="00CE4F6C">
        <w:trPr>
          <w:trHeight w:val="292"/>
        </w:trPr>
        <w:tc>
          <w:tcPr>
            <w:tcW w:w="499" w:type="dxa"/>
            <w:tcBorders>
              <w:right w:val="double" w:sz="4" w:space="0" w:color="auto"/>
            </w:tcBorders>
            <w:shd w:val="clear" w:color="auto" w:fill="FFFFFF" w:themeFill="background1"/>
          </w:tcPr>
          <w:p w14:paraId="14B30075"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1</w:t>
            </w:r>
          </w:p>
        </w:tc>
        <w:tc>
          <w:tcPr>
            <w:tcW w:w="1678" w:type="dxa"/>
            <w:tcBorders>
              <w:right w:val="double" w:sz="4" w:space="0" w:color="auto"/>
            </w:tcBorders>
            <w:shd w:val="clear" w:color="auto" w:fill="FFFFFF" w:themeFill="background1"/>
            <w:tcMar>
              <w:top w:w="36" w:type="dxa"/>
              <w:left w:w="73" w:type="dxa"/>
              <w:bottom w:w="36" w:type="dxa"/>
              <w:right w:w="73" w:type="dxa"/>
            </w:tcMar>
          </w:tcPr>
          <w:p w14:paraId="32254160" w14:textId="4D357FD8"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Roaming agreements</w:t>
            </w:r>
          </w:p>
        </w:tc>
        <w:tc>
          <w:tcPr>
            <w:tcW w:w="4559" w:type="dxa"/>
            <w:tcBorders>
              <w:left w:val="double" w:sz="4" w:space="0" w:color="auto"/>
            </w:tcBorders>
            <w:shd w:val="clear" w:color="auto" w:fill="FFFFFF" w:themeFill="background1"/>
          </w:tcPr>
          <w:p w14:paraId="5A49D48B"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Roaming describes the various aspects of an agreement allowing access to another operator’s mobile network (or parts of). </w:t>
            </w:r>
          </w:p>
          <w:p w14:paraId="5D6BBC13"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In the context of 5G it is expected that new services will become available requiring a high </w:t>
            </w:r>
            <w:r w:rsidRPr="00131399">
              <w:rPr>
                <w:rFonts w:ascii="Arial" w:hAnsi="Arial" w:cs="Arial"/>
                <w:sz w:val="20"/>
                <w:szCs w:val="20"/>
                <w:lang w:val="en-GB"/>
              </w:rPr>
              <w:lastRenderedPageBreak/>
              <w:t>level of coverage and/or QoS which probably will not be possible to be served by a single network or operator alone.</w:t>
            </w:r>
          </w:p>
          <w:p w14:paraId="091B0E1B" w14:textId="14327C2C"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Therefore, several types of roaming may have increasing relevance in the 5G era: (1) Legacy international roaming; (2) Legacy national roaming; (3) 5G specific roaming, e.g. roaming between MNOs and verticals, or between networks slices. </w:t>
            </w:r>
          </w:p>
        </w:tc>
        <w:tc>
          <w:tcPr>
            <w:tcW w:w="4110" w:type="dxa"/>
            <w:shd w:val="clear" w:color="auto" w:fill="FFFFFF" w:themeFill="background1"/>
          </w:tcPr>
          <w:p w14:paraId="6DF8D62E"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lastRenderedPageBreak/>
              <w:t>In a first step, BEREC could analyse the various types of roaming and their expected impact on rollout and take-up of 5G.</w:t>
            </w:r>
          </w:p>
          <w:p w14:paraId="7E3DA1A3" w14:textId="6FD253B6"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In a second step, BEREC could evaluate the current roaming regulations with a view on 5G </w:t>
            </w:r>
            <w:r w:rsidRPr="00131399">
              <w:rPr>
                <w:rFonts w:ascii="Arial" w:hAnsi="Arial" w:cs="Arial"/>
                <w:sz w:val="20"/>
                <w:szCs w:val="20"/>
                <w:lang w:val="en-GB"/>
              </w:rPr>
              <w:lastRenderedPageBreak/>
              <w:t>and analyse possible new 5G-specific roaming scenarios, e.g. verticals’ roaming or inter-slice roaming.</w:t>
            </w:r>
          </w:p>
          <w:p w14:paraId="1D6EDF08" w14:textId="72E26201"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BEREC could consider to what extent different kinds of roaming agreements would be in line with competition requirements.</w:t>
            </w:r>
          </w:p>
        </w:tc>
        <w:tc>
          <w:tcPr>
            <w:tcW w:w="4110" w:type="dxa"/>
            <w:shd w:val="clear" w:color="auto" w:fill="FFFFFF" w:themeFill="background1"/>
          </w:tcPr>
          <w:p w14:paraId="6B17BDFB" w14:textId="77777777" w:rsidR="005B30D8" w:rsidRPr="00131399" w:rsidRDefault="005B30D8" w:rsidP="00BC0E65">
            <w:pPr>
              <w:jc w:val="left"/>
              <w:rPr>
                <w:rFonts w:ascii="Arial" w:hAnsi="Arial" w:cs="Arial"/>
                <w:sz w:val="20"/>
                <w:szCs w:val="20"/>
                <w:lang w:val="en-GB"/>
              </w:rPr>
            </w:pPr>
          </w:p>
        </w:tc>
      </w:tr>
      <w:tr w:rsidR="005B30D8" w:rsidRPr="00116448" w14:paraId="1C33FBD8" w14:textId="08E04258" w:rsidTr="00CE4F6C">
        <w:trPr>
          <w:trHeight w:val="292"/>
        </w:trPr>
        <w:tc>
          <w:tcPr>
            <w:tcW w:w="499" w:type="dxa"/>
            <w:tcBorders>
              <w:right w:val="double" w:sz="4" w:space="0" w:color="auto"/>
            </w:tcBorders>
            <w:shd w:val="clear" w:color="auto" w:fill="FFFFFF" w:themeFill="background1"/>
          </w:tcPr>
          <w:p w14:paraId="58049A60" w14:textId="07C1C8A2"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2</w:t>
            </w:r>
          </w:p>
        </w:tc>
        <w:tc>
          <w:tcPr>
            <w:tcW w:w="1678" w:type="dxa"/>
            <w:tcBorders>
              <w:right w:val="double" w:sz="4" w:space="0" w:color="auto"/>
            </w:tcBorders>
            <w:shd w:val="clear" w:color="auto" w:fill="FFFFFF" w:themeFill="background1"/>
            <w:tcMar>
              <w:top w:w="36" w:type="dxa"/>
              <w:left w:w="73" w:type="dxa"/>
              <w:bottom w:w="36" w:type="dxa"/>
              <w:right w:w="73" w:type="dxa"/>
            </w:tcMar>
          </w:tcPr>
          <w:p w14:paraId="43A332C3" w14:textId="0F71792F"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Planning</w:t>
            </w:r>
          </w:p>
        </w:tc>
        <w:tc>
          <w:tcPr>
            <w:tcW w:w="4559" w:type="dxa"/>
            <w:tcBorders>
              <w:left w:val="double" w:sz="4" w:space="0" w:color="auto"/>
            </w:tcBorders>
            <w:shd w:val="clear" w:color="auto" w:fill="FFFFFF" w:themeFill="background1"/>
          </w:tcPr>
          <w:p w14:paraId="66DF2D2B"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The 5G technology development implies an increasing deployment of network resources and infrastructure. </w:t>
            </w:r>
          </w:p>
          <w:p w14:paraId="1AD4ABA8"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Planning refers to all the private and public initiatives that foster access to infrastructure deployment facilities, </w:t>
            </w:r>
            <w:proofErr w:type="gramStart"/>
            <w:r w:rsidRPr="00131399">
              <w:rPr>
                <w:rFonts w:ascii="Arial" w:hAnsi="Arial" w:cs="Arial"/>
                <w:sz w:val="20"/>
                <w:szCs w:val="20"/>
                <w:lang w:val="en-GB"/>
              </w:rPr>
              <w:t>in order to</w:t>
            </w:r>
            <w:proofErr w:type="gramEnd"/>
            <w:r w:rsidRPr="00131399">
              <w:rPr>
                <w:rFonts w:ascii="Arial" w:hAnsi="Arial" w:cs="Arial"/>
                <w:sz w:val="20"/>
                <w:szCs w:val="20"/>
                <w:lang w:val="en-GB"/>
              </w:rPr>
              <w:t xml:space="preserve"> obtain an efficient and agile 5G network roll-out which extends the benefits of better and more innovative service to a larger population, under challenging business conditions for 5G deployment in terms of investment and uncertainty of revenues.  </w:t>
            </w:r>
          </w:p>
          <w:p w14:paraId="6BCA081F"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5G deployment will impact stakeholders and regulatory bodies strategies related with:</w:t>
            </w:r>
          </w:p>
          <w:p w14:paraId="40A68107"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Access to spectrum (exclusive or shared licensed conditions, wholesale access)</w:t>
            </w:r>
          </w:p>
          <w:p w14:paraId="4EB0B572"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National/regional coverage obligations or/and wholesale obligations</w:t>
            </w:r>
          </w:p>
          <w:p w14:paraId="6C2DB053"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Upgrade of existing 2G/3G/4G sites to 5G</w:t>
            </w:r>
          </w:p>
          <w:p w14:paraId="2FD25F28"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lastRenderedPageBreak/>
              <w:t>Deployment of new sites (small cells)</w:t>
            </w:r>
          </w:p>
          <w:p w14:paraId="349956E0"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Access to public infrastructure facilities in urban areas for small cells deployment</w:t>
            </w:r>
          </w:p>
          <w:p w14:paraId="0157C07F"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 xml:space="preserve">Network sharing by access to passive (masts, towers, buildings, ducts, dark fibre…) and active infrastructure (antennae, network equipment, backhaul links …), including the possibility of sharing the network resources through virtualisation (SDN/NFV) and network slicing.  </w:t>
            </w:r>
          </w:p>
          <w:p w14:paraId="3C5225CF" w14:textId="77777777" w:rsidR="00F810FC" w:rsidRPr="00131399" w:rsidRDefault="00F810FC" w:rsidP="00F810F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 xml:space="preserve">EMF/EMC potentially causes high public interest especially </w:t>
            </w:r>
            <w:proofErr w:type="gramStart"/>
            <w:r w:rsidRPr="00131399">
              <w:rPr>
                <w:rFonts w:ascii="Arial" w:hAnsi="Arial" w:cs="Arial"/>
                <w:sz w:val="20"/>
                <w:szCs w:val="20"/>
                <w:lang w:val="en-GB"/>
              </w:rPr>
              <w:t>with regard to</w:t>
            </w:r>
            <w:proofErr w:type="gramEnd"/>
            <w:r w:rsidRPr="00131399">
              <w:rPr>
                <w:rFonts w:ascii="Arial" w:hAnsi="Arial" w:cs="Arial"/>
                <w:sz w:val="20"/>
                <w:szCs w:val="20"/>
                <w:lang w:val="en-GB"/>
              </w:rPr>
              <w:t xml:space="preserve"> network densification and small cells. EMF/EMC issues have the potential of leading to longer rollout procedures, higher transaction costs and sub-optimal network design. </w:t>
            </w:r>
          </w:p>
          <w:p w14:paraId="79A6A4F1" w14:textId="0290B4B2" w:rsidR="00F810FC" w:rsidRPr="00131399" w:rsidRDefault="00F810FC" w:rsidP="00F810FC">
            <w:pPr>
              <w:pStyle w:val="ListParagraph"/>
              <w:numPr>
                <w:ilvl w:val="0"/>
                <w:numId w:val="0"/>
              </w:numPr>
              <w:ind w:left="720"/>
              <w:jc w:val="left"/>
              <w:rPr>
                <w:rFonts w:ascii="Arial" w:hAnsi="Arial" w:cs="Arial"/>
                <w:sz w:val="20"/>
                <w:szCs w:val="20"/>
                <w:lang w:val="en-GB"/>
              </w:rPr>
            </w:pPr>
          </w:p>
        </w:tc>
        <w:tc>
          <w:tcPr>
            <w:tcW w:w="4110" w:type="dxa"/>
            <w:shd w:val="clear" w:color="auto" w:fill="FFFFFF" w:themeFill="background1"/>
          </w:tcPr>
          <w:p w14:paraId="09129C07"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lastRenderedPageBreak/>
              <w:t>BEREC could identify Member States practices in relation to:</w:t>
            </w:r>
          </w:p>
          <w:p w14:paraId="29F8705E"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 xml:space="preserve">promoting 5G, availability of roadmaps of spectrum availability and licensing conditions </w:t>
            </w:r>
          </w:p>
          <w:p w14:paraId="3AFB85FD"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 xml:space="preserve">providing testbed/pilot environments to stakeholders (MNOs, verticals, R&amp;D entities, public administrations…) to analyse 5G use cases, technology and identify potential roll-out barriers or constraints. </w:t>
            </w:r>
          </w:p>
          <w:p w14:paraId="5E500B75"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Enabling access conditions to public or private property with the objective of deploying 5G network.</w:t>
            </w:r>
          </w:p>
          <w:p w14:paraId="3FD46B75"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Enabling easy permission rules and access to the urban facilities including permit-free regime for small cells deployment (street lamps, traffic lights, billboards, etc).</w:t>
            </w:r>
          </w:p>
          <w:p w14:paraId="532B4D2E"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lastRenderedPageBreak/>
              <w:t>Allowing access to the backhaul infrastructure of other utility sectors (gas and electricity) and public companies.</w:t>
            </w:r>
          </w:p>
          <w:p w14:paraId="3F3CCA35"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Monitoring tools to offer stakeholders an improved access to information about public infrastructure facilities, planned civil works and available infrastructure and permission requirements.</w:t>
            </w:r>
          </w:p>
          <w:p w14:paraId="6AABF201" w14:textId="77777777" w:rsidR="00F810FC"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 xml:space="preserve">Follow the 5G use case, pilot experiences and standardisation activities, especially regarding SDN/NFV and network slicing, </w:t>
            </w:r>
            <w:proofErr w:type="gramStart"/>
            <w:r w:rsidRPr="00131399">
              <w:rPr>
                <w:rFonts w:ascii="Arial" w:hAnsi="Arial" w:cs="Arial"/>
                <w:sz w:val="20"/>
                <w:szCs w:val="20"/>
                <w:lang w:val="en-GB"/>
              </w:rPr>
              <w:t>in order to</w:t>
            </w:r>
            <w:proofErr w:type="gramEnd"/>
            <w:r w:rsidRPr="00131399">
              <w:rPr>
                <w:rFonts w:ascii="Arial" w:hAnsi="Arial" w:cs="Arial"/>
                <w:sz w:val="20"/>
                <w:szCs w:val="20"/>
                <w:lang w:val="en-GB"/>
              </w:rPr>
              <w:t xml:space="preserve"> anticipate and properly plan the required regulatory safeguards.</w:t>
            </w:r>
          </w:p>
          <w:p w14:paraId="1A262DB2" w14:textId="689E3B98" w:rsidR="005B30D8" w:rsidRPr="00131399" w:rsidRDefault="00F810FC"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BEREC could assess to what extent issues around EMF/EMC could impact on the rollout of 5G and identify who might be the appropriate bodies to remove barriers to 5G rollout.</w:t>
            </w:r>
          </w:p>
          <w:p w14:paraId="45B3C25B" w14:textId="77777777" w:rsidR="005B30D8" w:rsidRPr="00131399" w:rsidRDefault="005B30D8" w:rsidP="00BC0E65">
            <w:pPr>
              <w:jc w:val="left"/>
              <w:rPr>
                <w:rFonts w:ascii="Arial" w:hAnsi="Arial" w:cs="Arial"/>
                <w:sz w:val="20"/>
                <w:szCs w:val="20"/>
                <w:lang w:val="en-GB"/>
              </w:rPr>
            </w:pPr>
          </w:p>
        </w:tc>
        <w:tc>
          <w:tcPr>
            <w:tcW w:w="4110" w:type="dxa"/>
            <w:shd w:val="clear" w:color="auto" w:fill="FFFFFF" w:themeFill="background1"/>
          </w:tcPr>
          <w:p w14:paraId="18300E3E" w14:textId="77777777" w:rsidR="002803F2" w:rsidRPr="00131399" w:rsidRDefault="002803F2" w:rsidP="002803F2">
            <w:pPr>
              <w:jc w:val="left"/>
              <w:rPr>
                <w:rFonts w:ascii="Arial" w:hAnsi="Arial" w:cs="Arial"/>
                <w:sz w:val="20"/>
                <w:szCs w:val="20"/>
                <w:lang w:val="en-GB"/>
              </w:rPr>
            </w:pPr>
            <w:r w:rsidRPr="00131399">
              <w:rPr>
                <w:rFonts w:ascii="Arial" w:hAnsi="Arial" w:cs="Arial"/>
                <w:sz w:val="20"/>
                <w:szCs w:val="20"/>
                <w:lang w:val="en-GB"/>
              </w:rPr>
              <w:lastRenderedPageBreak/>
              <w:t>EC implementing act for small cells deployment (article 57 of EECC).</w:t>
            </w:r>
          </w:p>
          <w:p w14:paraId="069F283C" w14:textId="2DC66E4F" w:rsidR="002803F2" w:rsidRPr="00131399" w:rsidRDefault="002803F2" w:rsidP="002803F2">
            <w:pPr>
              <w:jc w:val="left"/>
              <w:rPr>
                <w:rFonts w:ascii="Arial" w:hAnsi="Arial" w:cs="Arial"/>
                <w:sz w:val="20"/>
                <w:szCs w:val="20"/>
                <w:lang w:val="en-GB"/>
              </w:rPr>
            </w:pPr>
            <w:r w:rsidRPr="00131399">
              <w:rPr>
                <w:rFonts w:ascii="Arial" w:hAnsi="Arial" w:cs="Arial"/>
                <w:sz w:val="20"/>
                <w:szCs w:val="20"/>
                <w:lang w:val="en-GB"/>
              </w:rPr>
              <w:t>Local and regional public institutions’ information.</w:t>
            </w:r>
          </w:p>
          <w:p w14:paraId="22D732C2" w14:textId="77777777" w:rsidR="002803F2" w:rsidRPr="00131399" w:rsidRDefault="002803F2" w:rsidP="002803F2">
            <w:pPr>
              <w:jc w:val="left"/>
              <w:rPr>
                <w:rFonts w:ascii="Arial" w:hAnsi="Arial" w:cs="Arial"/>
                <w:sz w:val="20"/>
                <w:szCs w:val="20"/>
                <w:lang w:val="en-GB"/>
              </w:rPr>
            </w:pPr>
            <w:r w:rsidRPr="00131399">
              <w:rPr>
                <w:rFonts w:ascii="Arial" w:hAnsi="Arial" w:cs="Arial"/>
                <w:sz w:val="20"/>
                <w:szCs w:val="20"/>
                <w:lang w:val="en-GB"/>
              </w:rPr>
              <w:t>3GPP and ETSI ongoing activity on SDN/NFV and network slicing.</w:t>
            </w:r>
          </w:p>
          <w:p w14:paraId="1E5DDCB3" w14:textId="77777777" w:rsidR="005B30D8" w:rsidRPr="00131399" w:rsidRDefault="005B30D8" w:rsidP="00BC0E65">
            <w:pPr>
              <w:jc w:val="left"/>
              <w:rPr>
                <w:rFonts w:ascii="Arial" w:hAnsi="Arial" w:cs="Arial"/>
                <w:sz w:val="20"/>
                <w:szCs w:val="20"/>
                <w:lang w:val="en-GB"/>
              </w:rPr>
            </w:pPr>
          </w:p>
        </w:tc>
      </w:tr>
      <w:tr w:rsidR="005B30D8" w:rsidRPr="00116448" w14:paraId="5D079D9A" w14:textId="11E87162" w:rsidTr="00CE4F6C">
        <w:trPr>
          <w:trHeight w:val="292"/>
        </w:trPr>
        <w:tc>
          <w:tcPr>
            <w:tcW w:w="499" w:type="dxa"/>
            <w:tcBorders>
              <w:right w:val="double" w:sz="4" w:space="0" w:color="auto"/>
            </w:tcBorders>
            <w:shd w:val="clear" w:color="auto" w:fill="FFFFFF" w:themeFill="background1"/>
          </w:tcPr>
          <w:p w14:paraId="11515EB2" w14:textId="5763604E"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3</w:t>
            </w:r>
          </w:p>
        </w:tc>
        <w:tc>
          <w:tcPr>
            <w:tcW w:w="1678" w:type="dxa"/>
            <w:tcBorders>
              <w:right w:val="double" w:sz="4" w:space="0" w:color="auto"/>
            </w:tcBorders>
            <w:shd w:val="clear" w:color="auto" w:fill="FFFFFF" w:themeFill="background1"/>
            <w:tcMar>
              <w:top w:w="36" w:type="dxa"/>
              <w:left w:w="73" w:type="dxa"/>
              <w:bottom w:w="36" w:type="dxa"/>
              <w:right w:w="73" w:type="dxa"/>
            </w:tcMar>
          </w:tcPr>
          <w:p w14:paraId="79AA823E" w14:textId="0FC3594F"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EMF</w:t>
            </w:r>
          </w:p>
        </w:tc>
        <w:tc>
          <w:tcPr>
            <w:tcW w:w="4559" w:type="dxa"/>
            <w:tcBorders>
              <w:left w:val="double" w:sz="4" w:space="0" w:color="auto"/>
            </w:tcBorders>
            <w:shd w:val="clear" w:color="auto" w:fill="FFFFFF" w:themeFill="background1"/>
          </w:tcPr>
          <w:p w14:paraId="1D536B7A"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EMF (electro-magnetic field) or EMC (electro-magnetic compatibility) describe the effect of unintentional generation, propagation and reception of electromagnetic energy which may cause unwanted effects.</w:t>
            </w:r>
          </w:p>
          <w:p w14:paraId="244EF0FA"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lastRenderedPageBreak/>
              <w:t xml:space="preserve">EMF/EMC potentially causes high public interest especially </w:t>
            </w:r>
            <w:proofErr w:type="gramStart"/>
            <w:r w:rsidRPr="00131399">
              <w:rPr>
                <w:rFonts w:ascii="Arial" w:hAnsi="Arial" w:cs="Arial"/>
                <w:sz w:val="20"/>
                <w:szCs w:val="20"/>
                <w:lang w:val="en-GB"/>
              </w:rPr>
              <w:t>with regard to</w:t>
            </w:r>
            <w:proofErr w:type="gramEnd"/>
            <w:r w:rsidRPr="00131399">
              <w:rPr>
                <w:rFonts w:ascii="Arial" w:hAnsi="Arial" w:cs="Arial"/>
                <w:sz w:val="20"/>
                <w:szCs w:val="20"/>
                <w:lang w:val="en-GB"/>
              </w:rPr>
              <w:t xml:space="preserve"> network densification and small cells. EMF/EMC issues have the potential of leading to longer rollout procedures, higher transaction costs and sub-optimal network design. </w:t>
            </w:r>
          </w:p>
          <w:p w14:paraId="037F6F81"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In many cases, NRAs are not directly responsible for EMF/EMC issues</w:t>
            </w:r>
          </w:p>
        </w:tc>
        <w:tc>
          <w:tcPr>
            <w:tcW w:w="4110" w:type="dxa"/>
            <w:shd w:val="clear" w:color="auto" w:fill="FFFFFF" w:themeFill="background1"/>
          </w:tcPr>
          <w:p w14:paraId="4AE562AF"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lastRenderedPageBreak/>
              <w:t>BEREC could assess to what extent issues around EMF/EMC could impact on the rollout of 5G and identify who might be the appropriate bodies to remove barriers to 5G rollout.</w:t>
            </w:r>
          </w:p>
        </w:tc>
        <w:tc>
          <w:tcPr>
            <w:tcW w:w="4110" w:type="dxa"/>
            <w:shd w:val="clear" w:color="auto" w:fill="FFFFFF" w:themeFill="background1"/>
          </w:tcPr>
          <w:p w14:paraId="1D52727A" w14:textId="77777777" w:rsidR="005B30D8" w:rsidRPr="00131399" w:rsidRDefault="005B30D8" w:rsidP="00BC0E65">
            <w:pPr>
              <w:jc w:val="left"/>
              <w:rPr>
                <w:rFonts w:ascii="Arial" w:hAnsi="Arial" w:cs="Arial"/>
                <w:sz w:val="20"/>
                <w:szCs w:val="20"/>
                <w:lang w:val="en-GB"/>
              </w:rPr>
            </w:pPr>
          </w:p>
        </w:tc>
      </w:tr>
      <w:tr w:rsidR="005B30D8" w:rsidRPr="00116448" w14:paraId="1C70B702" w14:textId="7EFE7CCC" w:rsidTr="00CE4F6C">
        <w:trPr>
          <w:trHeight w:val="292"/>
        </w:trPr>
        <w:tc>
          <w:tcPr>
            <w:tcW w:w="499" w:type="dxa"/>
            <w:tcBorders>
              <w:right w:val="double" w:sz="4" w:space="0" w:color="auto"/>
            </w:tcBorders>
            <w:shd w:val="clear" w:color="auto" w:fill="FFFFFF" w:themeFill="background1"/>
          </w:tcPr>
          <w:p w14:paraId="08360879" w14:textId="317A1C5E"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4</w:t>
            </w:r>
          </w:p>
        </w:tc>
        <w:tc>
          <w:tcPr>
            <w:tcW w:w="1678" w:type="dxa"/>
            <w:tcBorders>
              <w:right w:val="double" w:sz="4" w:space="0" w:color="auto"/>
            </w:tcBorders>
            <w:shd w:val="clear" w:color="auto" w:fill="FFFFFF" w:themeFill="background1"/>
            <w:tcMar>
              <w:top w:w="36" w:type="dxa"/>
              <w:left w:w="73" w:type="dxa"/>
              <w:bottom w:w="36" w:type="dxa"/>
              <w:right w:w="73" w:type="dxa"/>
            </w:tcMar>
          </w:tcPr>
          <w:p w14:paraId="1BEFB02C" w14:textId="1716D874"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Small cells</w:t>
            </w:r>
          </w:p>
        </w:tc>
        <w:tc>
          <w:tcPr>
            <w:tcW w:w="4559" w:type="dxa"/>
            <w:tcBorders>
              <w:left w:val="double" w:sz="4" w:space="0" w:color="auto"/>
            </w:tcBorders>
            <w:shd w:val="clear" w:color="auto" w:fill="FFFFFF" w:themeFill="background1"/>
          </w:tcPr>
          <w:p w14:paraId="060D0562" w14:textId="77D26008" w:rsidR="005B30D8" w:rsidRPr="00131399" w:rsidRDefault="005B30D8" w:rsidP="005B30D8">
            <w:pPr>
              <w:jc w:val="left"/>
              <w:rPr>
                <w:rFonts w:ascii="Arial" w:hAnsi="Arial" w:cs="Arial"/>
                <w:sz w:val="20"/>
                <w:szCs w:val="20"/>
                <w:lang w:val="en-GB"/>
              </w:rPr>
            </w:pPr>
            <w:r w:rsidRPr="00131399">
              <w:rPr>
                <w:rFonts w:ascii="Arial" w:hAnsi="Arial" w:cs="Arial"/>
                <w:sz w:val="20"/>
                <w:szCs w:val="20"/>
                <w:lang w:val="en-GB"/>
              </w:rPr>
              <w:t xml:space="preserve">See also article 57 of the Code, </w:t>
            </w:r>
            <w:r w:rsidR="00683943" w:rsidRPr="00131399">
              <w:rPr>
                <w:rFonts w:ascii="Arial" w:hAnsi="Arial" w:cs="Arial"/>
                <w:sz w:val="20"/>
                <w:szCs w:val="20"/>
                <w:lang w:val="en-GB"/>
              </w:rPr>
              <w:t>w</w:t>
            </w:r>
            <w:r w:rsidRPr="00131399">
              <w:rPr>
                <w:rFonts w:ascii="Arial" w:hAnsi="Arial" w:cs="Arial"/>
                <w:sz w:val="20"/>
                <w:szCs w:val="20"/>
                <w:lang w:val="en-GB"/>
              </w:rPr>
              <w:t>hich tasks the European Commission, by means of implementing acts, to specify the physical and technical characteristics, such as the maximum size, weight and, where appropriate, emission power of Small Area Wireless Access points, that will be exempted from any individual town planning permit or other prior individual permits, except for environmental or historical reasons or public safety</w:t>
            </w:r>
          </w:p>
        </w:tc>
        <w:tc>
          <w:tcPr>
            <w:tcW w:w="4110" w:type="dxa"/>
            <w:shd w:val="clear" w:color="auto" w:fill="FFFFFF" w:themeFill="background1"/>
          </w:tcPr>
          <w:p w14:paraId="3C9432E1"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Contingent on the completion of the Commission’s implementing act on small cells, BEREC could study best practices in Member States </w:t>
            </w:r>
            <w:proofErr w:type="gramStart"/>
            <w:r w:rsidRPr="00131399">
              <w:rPr>
                <w:rFonts w:ascii="Arial" w:hAnsi="Arial" w:cs="Arial"/>
                <w:sz w:val="20"/>
                <w:szCs w:val="20"/>
                <w:lang w:val="en-GB"/>
              </w:rPr>
              <w:t>with regard to</w:t>
            </w:r>
            <w:proofErr w:type="gramEnd"/>
            <w:r w:rsidRPr="00131399">
              <w:rPr>
                <w:rFonts w:ascii="Arial" w:hAnsi="Arial" w:cs="Arial"/>
                <w:sz w:val="20"/>
                <w:szCs w:val="20"/>
                <w:lang w:val="en-GB"/>
              </w:rPr>
              <w:t xml:space="preserve"> facilitating the light deployment regime for small cells.</w:t>
            </w:r>
          </w:p>
        </w:tc>
        <w:tc>
          <w:tcPr>
            <w:tcW w:w="4110" w:type="dxa"/>
            <w:shd w:val="clear" w:color="auto" w:fill="FFFFFF" w:themeFill="background1"/>
          </w:tcPr>
          <w:p w14:paraId="04068D15" w14:textId="77777777" w:rsidR="005B30D8" w:rsidRPr="00131399" w:rsidRDefault="005B30D8" w:rsidP="00BC0E65">
            <w:pPr>
              <w:jc w:val="left"/>
              <w:rPr>
                <w:rFonts w:ascii="Arial" w:hAnsi="Arial" w:cs="Arial"/>
                <w:sz w:val="20"/>
                <w:szCs w:val="20"/>
                <w:lang w:val="en-GB"/>
              </w:rPr>
            </w:pPr>
          </w:p>
        </w:tc>
      </w:tr>
      <w:tr w:rsidR="005B30D8" w:rsidRPr="00131399" w14:paraId="6FEC55D8" w14:textId="0A5F128F" w:rsidTr="00CE4F6C">
        <w:trPr>
          <w:trHeight w:val="292"/>
        </w:trPr>
        <w:tc>
          <w:tcPr>
            <w:tcW w:w="499" w:type="dxa"/>
            <w:tcBorders>
              <w:bottom w:val="double" w:sz="4" w:space="0" w:color="auto"/>
              <w:right w:val="double" w:sz="4" w:space="0" w:color="auto"/>
            </w:tcBorders>
            <w:shd w:val="clear" w:color="auto" w:fill="FFFFFF" w:themeFill="background1"/>
          </w:tcPr>
          <w:p w14:paraId="2B299654" w14:textId="549A6642"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5</w:t>
            </w:r>
          </w:p>
        </w:tc>
        <w:tc>
          <w:tcPr>
            <w:tcW w:w="1678" w:type="dxa"/>
            <w:tcBorders>
              <w:bottom w:val="double" w:sz="4" w:space="0" w:color="auto"/>
              <w:right w:val="double" w:sz="4" w:space="0" w:color="auto"/>
            </w:tcBorders>
            <w:shd w:val="clear" w:color="auto" w:fill="FFFFFF" w:themeFill="background1"/>
            <w:tcMar>
              <w:top w:w="36" w:type="dxa"/>
              <w:left w:w="73" w:type="dxa"/>
              <w:bottom w:w="36" w:type="dxa"/>
              <w:right w:w="73" w:type="dxa"/>
            </w:tcMar>
          </w:tcPr>
          <w:p w14:paraId="7578DCBE" w14:textId="157796F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State aid/coverage obligations</w:t>
            </w:r>
          </w:p>
        </w:tc>
        <w:tc>
          <w:tcPr>
            <w:tcW w:w="4559" w:type="dxa"/>
            <w:tcBorders>
              <w:left w:val="double" w:sz="4" w:space="0" w:color="auto"/>
              <w:bottom w:val="double" w:sz="4" w:space="0" w:color="auto"/>
            </w:tcBorders>
            <w:shd w:val="clear" w:color="auto" w:fill="FFFFFF" w:themeFill="background1"/>
          </w:tcPr>
          <w:p w14:paraId="38B9691F"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Extension of broadband coverage to rural areas is one of the main objectives of national state aid rules and spectrum licensing conditions, because of the limited rural backhaul infrastructures. </w:t>
            </w:r>
          </w:p>
          <w:p w14:paraId="3C02AD18"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In the context of 5G, there are some potential use cases more oriented to rural coverage, such as </w:t>
            </w:r>
            <w:proofErr w:type="spellStart"/>
            <w:r w:rsidRPr="00131399">
              <w:rPr>
                <w:rFonts w:ascii="Arial" w:hAnsi="Arial" w:cs="Arial"/>
                <w:sz w:val="20"/>
                <w:szCs w:val="20"/>
                <w:lang w:val="en-GB"/>
              </w:rPr>
              <w:t>mMTC</w:t>
            </w:r>
            <w:proofErr w:type="spellEnd"/>
            <w:r w:rsidRPr="00131399">
              <w:rPr>
                <w:rFonts w:ascii="Arial" w:hAnsi="Arial" w:cs="Arial"/>
                <w:sz w:val="20"/>
                <w:szCs w:val="20"/>
                <w:lang w:val="en-GB"/>
              </w:rPr>
              <w:t xml:space="preserve"> for agricultural applications or remote healthcare in rural environments. The requirements associated to these 5G use cases would naturally affect existing state aid plans for broadband extension, jointly with spectrum coverage </w:t>
            </w:r>
            <w:r w:rsidRPr="00131399">
              <w:rPr>
                <w:rFonts w:ascii="Arial" w:hAnsi="Arial" w:cs="Arial"/>
                <w:sz w:val="20"/>
                <w:szCs w:val="20"/>
                <w:lang w:val="en-GB"/>
              </w:rPr>
              <w:lastRenderedPageBreak/>
              <w:t xml:space="preserve">obligations, </w:t>
            </w:r>
            <w:proofErr w:type="gramStart"/>
            <w:r w:rsidRPr="00131399">
              <w:rPr>
                <w:rFonts w:ascii="Arial" w:hAnsi="Arial" w:cs="Arial"/>
                <w:sz w:val="20"/>
                <w:szCs w:val="20"/>
                <w:lang w:val="en-GB"/>
              </w:rPr>
              <w:t>in order to</w:t>
            </w:r>
            <w:proofErr w:type="gramEnd"/>
            <w:r w:rsidRPr="00131399">
              <w:rPr>
                <w:rFonts w:ascii="Arial" w:hAnsi="Arial" w:cs="Arial"/>
                <w:sz w:val="20"/>
                <w:szCs w:val="20"/>
                <w:lang w:val="en-GB"/>
              </w:rPr>
              <w:t xml:space="preserve"> enhance the deployment of fibre based backhaul in rural areas in a cost-effective manner, avoiding a digital divide.      </w:t>
            </w:r>
          </w:p>
        </w:tc>
        <w:tc>
          <w:tcPr>
            <w:tcW w:w="4110" w:type="dxa"/>
            <w:tcBorders>
              <w:bottom w:val="double" w:sz="4" w:space="0" w:color="auto"/>
            </w:tcBorders>
            <w:shd w:val="clear" w:color="auto" w:fill="FFFFFF" w:themeFill="background1"/>
          </w:tcPr>
          <w:p w14:paraId="4DB73B99"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lastRenderedPageBreak/>
              <w:t>To address the challenge of extending 5G coverage to rural areas, BEREC could study:</w:t>
            </w:r>
          </w:p>
          <w:p w14:paraId="09763A2C"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Member States practices in relation to mandatory coverage conditions in rural areas (with the required QoS) in the spectrum licensing procedures.</w:t>
            </w:r>
          </w:p>
          <w:p w14:paraId="17A25871"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t>Member States practices in relation to broadband state aid and 5G plans.</w:t>
            </w:r>
          </w:p>
          <w:p w14:paraId="4A27B234" w14:textId="77777777" w:rsidR="005B30D8" w:rsidRPr="00131399" w:rsidRDefault="005B30D8" w:rsidP="00002ACC">
            <w:pPr>
              <w:pStyle w:val="ListParagraph"/>
              <w:numPr>
                <w:ilvl w:val="0"/>
                <w:numId w:val="3"/>
              </w:numPr>
              <w:jc w:val="left"/>
              <w:rPr>
                <w:rFonts w:ascii="Arial" w:hAnsi="Arial" w:cs="Arial"/>
                <w:sz w:val="20"/>
                <w:szCs w:val="20"/>
                <w:lang w:val="en-GB"/>
              </w:rPr>
            </w:pPr>
            <w:r w:rsidRPr="00131399">
              <w:rPr>
                <w:rFonts w:ascii="Arial" w:hAnsi="Arial" w:cs="Arial"/>
                <w:sz w:val="20"/>
                <w:szCs w:val="20"/>
                <w:lang w:val="en-GB"/>
              </w:rPr>
              <w:lastRenderedPageBreak/>
              <w:t xml:space="preserve">Other practices adopted at a local/regional level aimed at rolling out 5G in rural areas    </w:t>
            </w:r>
          </w:p>
        </w:tc>
        <w:tc>
          <w:tcPr>
            <w:tcW w:w="4110" w:type="dxa"/>
            <w:tcBorders>
              <w:bottom w:val="double" w:sz="4" w:space="0" w:color="auto"/>
            </w:tcBorders>
            <w:shd w:val="clear" w:color="auto" w:fill="FFFFFF" w:themeFill="background1"/>
          </w:tcPr>
          <w:p w14:paraId="7C57A6B3" w14:textId="69B9D2BE" w:rsidR="005B30D8" w:rsidRPr="00131399" w:rsidRDefault="00683943" w:rsidP="00BC0E65">
            <w:pPr>
              <w:jc w:val="left"/>
              <w:rPr>
                <w:rFonts w:ascii="Arial" w:hAnsi="Arial" w:cs="Arial"/>
                <w:sz w:val="20"/>
                <w:szCs w:val="20"/>
                <w:lang w:val="en-GB"/>
              </w:rPr>
            </w:pPr>
            <w:r w:rsidRPr="00131399">
              <w:rPr>
                <w:rFonts w:ascii="Arial" w:hAnsi="Arial" w:cs="Arial"/>
                <w:sz w:val="20"/>
                <w:szCs w:val="20"/>
                <w:lang w:val="en-GB"/>
              </w:rPr>
              <w:lastRenderedPageBreak/>
              <w:t>EC state aid rules</w:t>
            </w:r>
          </w:p>
        </w:tc>
      </w:tr>
      <w:tr w:rsidR="005B30D8" w:rsidRPr="00116448" w14:paraId="3859CE8D" w14:textId="49A32E6B" w:rsidTr="00CE4F6C">
        <w:trPr>
          <w:trHeight w:val="292"/>
        </w:trPr>
        <w:tc>
          <w:tcPr>
            <w:tcW w:w="499" w:type="dxa"/>
            <w:tcBorders>
              <w:right w:val="double" w:sz="4" w:space="0" w:color="auto"/>
            </w:tcBorders>
            <w:shd w:val="clear" w:color="auto" w:fill="FFFFFF" w:themeFill="background1"/>
          </w:tcPr>
          <w:p w14:paraId="58A64151" w14:textId="56E26426"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6</w:t>
            </w:r>
          </w:p>
        </w:tc>
        <w:tc>
          <w:tcPr>
            <w:tcW w:w="1678" w:type="dxa"/>
            <w:tcBorders>
              <w:right w:val="double" w:sz="4" w:space="0" w:color="auto"/>
            </w:tcBorders>
            <w:shd w:val="clear" w:color="auto" w:fill="FFFFFF" w:themeFill="background1"/>
            <w:tcMar>
              <w:top w:w="36" w:type="dxa"/>
              <w:left w:w="73" w:type="dxa"/>
              <w:bottom w:w="36" w:type="dxa"/>
              <w:right w:w="73" w:type="dxa"/>
            </w:tcMar>
          </w:tcPr>
          <w:p w14:paraId="7D24B862" w14:textId="6EBFA39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Security</w:t>
            </w:r>
          </w:p>
        </w:tc>
        <w:tc>
          <w:tcPr>
            <w:tcW w:w="4559" w:type="dxa"/>
            <w:tcBorders>
              <w:left w:val="double" w:sz="4" w:space="0" w:color="auto"/>
            </w:tcBorders>
            <w:shd w:val="clear" w:color="auto" w:fill="FFFFFF" w:themeFill="background1"/>
          </w:tcPr>
          <w:p w14:paraId="04C28064"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The application of EC recommendation of 26.03.2019 on Cybersecurity of 5G networks Recommendation at national level on 5G network will impact all the stakeholders and equipment providers, potentially increasing the costs, complexity and 5G roll-out speed. </w:t>
            </w:r>
          </w:p>
          <w:p w14:paraId="34C42850"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Regulatory bodies could include conditions for ensuring the security of public networks, especially when granting rights of use for radio frequencies in 5G bands. </w:t>
            </w:r>
          </w:p>
        </w:tc>
        <w:tc>
          <w:tcPr>
            <w:tcW w:w="4110" w:type="dxa"/>
            <w:shd w:val="clear" w:color="auto" w:fill="FFFFFF" w:themeFill="background1"/>
          </w:tcPr>
          <w:p w14:paraId="644B5070" w14:textId="3250DC3D" w:rsidR="005B30D8" w:rsidRPr="00131399" w:rsidRDefault="005B30D8" w:rsidP="0010695D">
            <w:pPr>
              <w:jc w:val="left"/>
              <w:rPr>
                <w:rFonts w:ascii="Arial" w:hAnsi="Arial" w:cs="Arial"/>
                <w:sz w:val="20"/>
                <w:szCs w:val="20"/>
                <w:lang w:val="en-GB"/>
              </w:rPr>
            </w:pPr>
            <w:r w:rsidRPr="00131399">
              <w:rPr>
                <w:rFonts w:ascii="Arial" w:hAnsi="Arial" w:cs="Arial"/>
                <w:sz w:val="20"/>
                <w:szCs w:val="20"/>
                <w:lang w:val="en-GB"/>
              </w:rPr>
              <w:t xml:space="preserve"> BEREC could </w:t>
            </w:r>
            <w:r w:rsidR="0010695D" w:rsidRPr="00131399">
              <w:rPr>
                <w:rFonts w:ascii="Arial" w:hAnsi="Arial" w:cs="Arial"/>
                <w:sz w:val="20"/>
                <w:szCs w:val="20"/>
                <w:lang w:val="en-GB"/>
              </w:rPr>
              <w:t>evaluate the measures taken by MS after the EC has published the 5G security tool box (expected end of 2019) as mentioned in the Commission Recommendation of 26 March 2019 on Cybersecurity of 5G networks</w:t>
            </w:r>
            <w:r w:rsidR="00915196" w:rsidRPr="00131399">
              <w:rPr>
                <w:rFonts w:ascii="Arial" w:hAnsi="Arial" w:cs="Arial"/>
                <w:sz w:val="20"/>
                <w:szCs w:val="20"/>
                <w:lang w:val="en-GB"/>
              </w:rPr>
              <w:t xml:space="preserve">. The national and union-wide risk assessments undertaken </w:t>
            </w:r>
            <w:proofErr w:type="gramStart"/>
            <w:r w:rsidR="00915196" w:rsidRPr="00131399">
              <w:rPr>
                <w:rFonts w:ascii="Arial" w:hAnsi="Arial" w:cs="Arial"/>
                <w:sz w:val="20"/>
                <w:szCs w:val="20"/>
                <w:lang w:val="en-GB"/>
              </w:rPr>
              <w:t>in the course of</w:t>
            </w:r>
            <w:proofErr w:type="gramEnd"/>
            <w:r w:rsidR="00915196" w:rsidRPr="00131399">
              <w:rPr>
                <w:rFonts w:ascii="Arial" w:hAnsi="Arial" w:cs="Arial"/>
                <w:sz w:val="20"/>
                <w:szCs w:val="20"/>
                <w:lang w:val="en-GB"/>
              </w:rPr>
              <w:t xml:space="preserve"> 2019 could be taken account of.</w:t>
            </w:r>
          </w:p>
        </w:tc>
        <w:tc>
          <w:tcPr>
            <w:tcW w:w="4110" w:type="dxa"/>
            <w:shd w:val="clear" w:color="auto" w:fill="FFFFFF" w:themeFill="background1"/>
          </w:tcPr>
          <w:p w14:paraId="47C5D8BB" w14:textId="77777777" w:rsidR="00683943" w:rsidRPr="00131399" w:rsidRDefault="00683943" w:rsidP="00BC0E65">
            <w:pPr>
              <w:jc w:val="left"/>
              <w:rPr>
                <w:rFonts w:ascii="Arial" w:hAnsi="Arial" w:cs="Arial"/>
                <w:sz w:val="20"/>
                <w:szCs w:val="20"/>
                <w:lang w:val="en-GB"/>
              </w:rPr>
            </w:pPr>
            <w:r w:rsidRPr="00131399">
              <w:rPr>
                <w:rFonts w:ascii="Arial" w:hAnsi="Arial" w:cs="Arial"/>
                <w:sz w:val="20"/>
                <w:szCs w:val="20"/>
                <w:lang w:val="en-GB"/>
              </w:rPr>
              <w:t xml:space="preserve">EC regulation related to Cybersecurity. </w:t>
            </w:r>
          </w:p>
          <w:p w14:paraId="14388F6C" w14:textId="2B85D194" w:rsidR="00683943" w:rsidRPr="00131399" w:rsidRDefault="00683943" w:rsidP="00BC0E65">
            <w:pPr>
              <w:jc w:val="left"/>
              <w:rPr>
                <w:rFonts w:ascii="Arial" w:hAnsi="Arial" w:cs="Arial"/>
                <w:sz w:val="20"/>
                <w:szCs w:val="20"/>
                <w:lang w:val="en-GB"/>
              </w:rPr>
            </w:pPr>
            <w:r w:rsidRPr="00131399">
              <w:rPr>
                <w:rFonts w:ascii="Arial" w:hAnsi="Arial" w:cs="Arial"/>
                <w:sz w:val="20"/>
                <w:szCs w:val="20"/>
                <w:lang w:val="en-GB"/>
              </w:rPr>
              <w:t>European Agency for Cybersecurity (ENISA)</w:t>
            </w:r>
          </w:p>
        </w:tc>
      </w:tr>
      <w:tr w:rsidR="005B30D8" w:rsidRPr="00116448" w14:paraId="3216E133" w14:textId="58E2DFD3" w:rsidTr="00CE4F6C">
        <w:trPr>
          <w:trHeight w:val="292"/>
        </w:trPr>
        <w:tc>
          <w:tcPr>
            <w:tcW w:w="499" w:type="dxa"/>
            <w:tcBorders>
              <w:bottom w:val="double" w:sz="4" w:space="0" w:color="auto"/>
              <w:right w:val="double" w:sz="4" w:space="0" w:color="auto"/>
            </w:tcBorders>
            <w:shd w:val="clear" w:color="auto" w:fill="FFFFFF" w:themeFill="background1"/>
          </w:tcPr>
          <w:p w14:paraId="6855C658" w14:textId="2AB0BC40"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7</w:t>
            </w:r>
          </w:p>
        </w:tc>
        <w:tc>
          <w:tcPr>
            <w:tcW w:w="1678" w:type="dxa"/>
            <w:tcBorders>
              <w:bottom w:val="double" w:sz="4" w:space="0" w:color="auto"/>
              <w:right w:val="double" w:sz="4" w:space="0" w:color="auto"/>
            </w:tcBorders>
            <w:shd w:val="clear" w:color="auto" w:fill="FFFFFF" w:themeFill="background1"/>
            <w:tcMar>
              <w:top w:w="36" w:type="dxa"/>
              <w:left w:w="73" w:type="dxa"/>
              <w:bottom w:w="36" w:type="dxa"/>
              <w:right w:w="73" w:type="dxa"/>
            </w:tcMar>
          </w:tcPr>
          <w:p w14:paraId="3DA716FA" w14:textId="4E78006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Infrastructure sharing</w:t>
            </w:r>
          </w:p>
        </w:tc>
        <w:tc>
          <w:tcPr>
            <w:tcW w:w="4559" w:type="dxa"/>
            <w:tcBorders>
              <w:left w:val="double" w:sz="4" w:space="0" w:color="auto"/>
              <w:bottom w:val="double" w:sz="4" w:space="0" w:color="auto"/>
            </w:tcBorders>
            <w:shd w:val="clear" w:color="auto" w:fill="FFFFFF" w:themeFill="background1"/>
          </w:tcPr>
          <w:p w14:paraId="4E295C12"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See also BEREC Common Position on Mobile infrastructure sharing (</w:t>
            </w:r>
            <w:proofErr w:type="spellStart"/>
            <w:r w:rsidRPr="00131399">
              <w:rPr>
                <w:rFonts w:ascii="Arial" w:hAnsi="Arial" w:cs="Arial"/>
                <w:sz w:val="20"/>
                <w:szCs w:val="20"/>
                <w:lang w:val="en-GB"/>
              </w:rPr>
              <w:t>BoR</w:t>
            </w:r>
            <w:proofErr w:type="spellEnd"/>
            <w:r w:rsidRPr="00131399">
              <w:rPr>
                <w:rFonts w:ascii="Arial" w:hAnsi="Arial" w:cs="Arial"/>
                <w:sz w:val="20"/>
                <w:szCs w:val="20"/>
                <w:lang w:val="en-GB"/>
              </w:rPr>
              <w:t xml:space="preserve"> (19) 110). </w:t>
            </w:r>
          </w:p>
          <w:p w14:paraId="23BE03EB"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BEREC notes that there are </w:t>
            </w:r>
            <w:proofErr w:type="gramStart"/>
            <w:r w:rsidRPr="00131399">
              <w:rPr>
                <w:rFonts w:ascii="Arial" w:hAnsi="Arial" w:cs="Arial"/>
                <w:sz w:val="20"/>
                <w:szCs w:val="20"/>
                <w:lang w:val="en-GB"/>
              </w:rPr>
              <w:t>a number of</w:t>
            </w:r>
            <w:proofErr w:type="gramEnd"/>
            <w:r w:rsidRPr="00131399">
              <w:rPr>
                <w:rFonts w:ascii="Arial" w:hAnsi="Arial" w:cs="Arial"/>
                <w:sz w:val="20"/>
                <w:szCs w:val="20"/>
                <w:lang w:val="en-GB"/>
              </w:rPr>
              <w:t xml:space="preserve"> relevant publications on infrastructure sharing and information on this topic published (including by RSPG and Competition Authorities).</w:t>
            </w:r>
          </w:p>
        </w:tc>
        <w:tc>
          <w:tcPr>
            <w:tcW w:w="4110" w:type="dxa"/>
            <w:tcBorders>
              <w:bottom w:val="double" w:sz="4" w:space="0" w:color="auto"/>
            </w:tcBorders>
            <w:shd w:val="clear" w:color="auto" w:fill="FFFFFF" w:themeFill="background1"/>
          </w:tcPr>
          <w:p w14:paraId="4BA91EFE"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[Internal] BEREC could support ongoing exchange of information in relation to sharing arrangements implemented in Member States </w:t>
            </w:r>
          </w:p>
        </w:tc>
        <w:tc>
          <w:tcPr>
            <w:tcW w:w="4110" w:type="dxa"/>
            <w:tcBorders>
              <w:bottom w:val="double" w:sz="4" w:space="0" w:color="auto"/>
            </w:tcBorders>
            <w:shd w:val="clear" w:color="auto" w:fill="FFFFFF" w:themeFill="background1"/>
          </w:tcPr>
          <w:p w14:paraId="12B18755" w14:textId="77777777" w:rsidR="005B30D8" w:rsidRPr="00131399" w:rsidRDefault="005B30D8" w:rsidP="00BC0E65">
            <w:pPr>
              <w:jc w:val="left"/>
              <w:rPr>
                <w:rFonts w:ascii="Arial" w:hAnsi="Arial" w:cs="Arial"/>
                <w:sz w:val="20"/>
                <w:szCs w:val="20"/>
                <w:lang w:val="en-GB"/>
              </w:rPr>
            </w:pPr>
          </w:p>
        </w:tc>
      </w:tr>
      <w:tr w:rsidR="005B30D8" w:rsidRPr="00116448" w14:paraId="7BC49F24" w14:textId="3FA18E03" w:rsidTr="00CE4F6C">
        <w:trPr>
          <w:trHeight w:val="292"/>
        </w:trPr>
        <w:tc>
          <w:tcPr>
            <w:tcW w:w="499" w:type="dxa"/>
            <w:tcBorders>
              <w:bottom w:val="double" w:sz="4" w:space="0" w:color="auto"/>
              <w:right w:val="double" w:sz="4" w:space="0" w:color="auto"/>
            </w:tcBorders>
            <w:shd w:val="clear" w:color="auto" w:fill="FFFFFF" w:themeFill="background1"/>
          </w:tcPr>
          <w:p w14:paraId="32CA1CB9" w14:textId="5932B2E6"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8</w:t>
            </w:r>
          </w:p>
        </w:tc>
        <w:tc>
          <w:tcPr>
            <w:tcW w:w="1678" w:type="dxa"/>
            <w:tcBorders>
              <w:bottom w:val="double" w:sz="4" w:space="0" w:color="auto"/>
              <w:right w:val="double" w:sz="4" w:space="0" w:color="auto"/>
            </w:tcBorders>
            <w:shd w:val="clear" w:color="auto" w:fill="FFFFFF" w:themeFill="background1"/>
            <w:tcMar>
              <w:top w:w="36" w:type="dxa"/>
              <w:left w:w="73" w:type="dxa"/>
              <w:bottom w:w="36" w:type="dxa"/>
              <w:right w:w="73" w:type="dxa"/>
            </w:tcMar>
          </w:tcPr>
          <w:p w14:paraId="0EBCABB8" w14:textId="5AA4E392"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Backhaul</w:t>
            </w:r>
          </w:p>
        </w:tc>
        <w:tc>
          <w:tcPr>
            <w:tcW w:w="4559" w:type="dxa"/>
            <w:tcBorders>
              <w:left w:val="double" w:sz="4" w:space="0" w:color="auto"/>
              <w:bottom w:val="double" w:sz="4" w:space="0" w:color="auto"/>
            </w:tcBorders>
            <w:shd w:val="clear" w:color="auto" w:fill="FFFFFF" w:themeFill="background1"/>
          </w:tcPr>
          <w:p w14:paraId="77146265"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In the context of 5G, backhaul describes the high-speed connection from 5G base stations to the core network. With the ever-increasing demand for bandwidth, backhaul will be mainly realised using </w:t>
            </w:r>
            <w:r w:rsidRPr="00131399">
              <w:rPr>
                <w:rFonts w:ascii="Arial" w:hAnsi="Arial" w:cs="Arial"/>
                <w:sz w:val="20"/>
                <w:szCs w:val="20"/>
                <w:lang w:val="en-GB"/>
              </w:rPr>
              <w:lastRenderedPageBreak/>
              <w:t>fibre, with legacy radio links and 5G radio backhauling (using 5G spectrum) a further option.</w:t>
            </w:r>
          </w:p>
          <w:p w14:paraId="640FB181"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Further Broadcasters (and probably also the EBU) require interworking/access and backhaul to meet their needs</w:t>
            </w:r>
          </w:p>
        </w:tc>
        <w:tc>
          <w:tcPr>
            <w:tcW w:w="4110" w:type="dxa"/>
            <w:tcBorders>
              <w:bottom w:val="double" w:sz="4" w:space="0" w:color="auto"/>
            </w:tcBorders>
            <w:shd w:val="clear" w:color="auto" w:fill="FFFFFF" w:themeFill="background1"/>
          </w:tcPr>
          <w:p w14:paraId="49198298"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lastRenderedPageBreak/>
              <w:t xml:space="preserve">BEREC could study Member States practices in relation to ensuring that there are no barriers to </w:t>
            </w:r>
            <w:r w:rsidRPr="00131399">
              <w:rPr>
                <w:rFonts w:ascii="Arial" w:hAnsi="Arial" w:cs="Arial"/>
                <w:sz w:val="20"/>
                <w:szCs w:val="20"/>
                <w:lang w:val="en-GB"/>
              </w:rPr>
              <w:pgNum/>
            </w:r>
            <w:r w:rsidRPr="00131399">
              <w:rPr>
                <w:rFonts w:ascii="Arial" w:hAnsi="Arial" w:cs="Arial"/>
                <w:sz w:val="20"/>
                <w:szCs w:val="20"/>
                <w:lang w:val="en-GB"/>
              </w:rPr>
              <w:t xml:space="preserve">backhauling in 5G (or a similar study) </w:t>
            </w:r>
          </w:p>
          <w:p w14:paraId="72B3EE29" w14:textId="77777777" w:rsidR="005B30D8" w:rsidRPr="00131399" w:rsidRDefault="005B30D8" w:rsidP="00BC0E65">
            <w:pPr>
              <w:jc w:val="left"/>
              <w:rPr>
                <w:rFonts w:ascii="Arial" w:hAnsi="Arial" w:cs="Arial"/>
                <w:sz w:val="20"/>
                <w:szCs w:val="20"/>
                <w:lang w:val="en-GB"/>
              </w:rPr>
            </w:pPr>
          </w:p>
        </w:tc>
        <w:tc>
          <w:tcPr>
            <w:tcW w:w="4110" w:type="dxa"/>
            <w:tcBorders>
              <w:bottom w:val="double" w:sz="4" w:space="0" w:color="auto"/>
            </w:tcBorders>
            <w:shd w:val="clear" w:color="auto" w:fill="FFFFFF" w:themeFill="background1"/>
          </w:tcPr>
          <w:p w14:paraId="33D1E388" w14:textId="77777777" w:rsidR="005B30D8" w:rsidRPr="00131399" w:rsidRDefault="005B30D8" w:rsidP="00BC0E65">
            <w:pPr>
              <w:jc w:val="left"/>
              <w:rPr>
                <w:rFonts w:ascii="Arial" w:hAnsi="Arial" w:cs="Arial"/>
                <w:sz w:val="20"/>
                <w:szCs w:val="20"/>
                <w:lang w:val="en-GB"/>
              </w:rPr>
            </w:pPr>
          </w:p>
        </w:tc>
      </w:tr>
      <w:tr w:rsidR="005B30D8" w:rsidRPr="00116448" w14:paraId="417D8442" w14:textId="1612951A" w:rsidTr="00CE4F6C">
        <w:trPr>
          <w:trHeight w:val="292"/>
        </w:trPr>
        <w:tc>
          <w:tcPr>
            <w:tcW w:w="499" w:type="dxa"/>
            <w:tcBorders>
              <w:bottom w:val="double" w:sz="4" w:space="0" w:color="auto"/>
              <w:right w:val="double" w:sz="4" w:space="0" w:color="auto"/>
            </w:tcBorders>
            <w:shd w:val="clear" w:color="auto" w:fill="FFFFFF" w:themeFill="background1"/>
          </w:tcPr>
          <w:p w14:paraId="411A18D8" w14:textId="0905FE9F"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9</w:t>
            </w:r>
          </w:p>
        </w:tc>
        <w:tc>
          <w:tcPr>
            <w:tcW w:w="1678" w:type="dxa"/>
            <w:tcBorders>
              <w:bottom w:val="double" w:sz="4" w:space="0" w:color="auto"/>
              <w:right w:val="double" w:sz="4" w:space="0" w:color="auto"/>
            </w:tcBorders>
            <w:shd w:val="clear" w:color="auto" w:fill="FFFFFF" w:themeFill="background1"/>
            <w:tcMar>
              <w:top w:w="36" w:type="dxa"/>
              <w:left w:w="73" w:type="dxa"/>
              <w:bottom w:w="36" w:type="dxa"/>
              <w:right w:w="73" w:type="dxa"/>
            </w:tcMar>
          </w:tcPr>
          <w:p w14:paraId="2137FE8C" w14:textId="64C57BC4"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Convergence </w:t>
            </w:r>
          </w:p>
        </w:tc>
        <w:tc>
          <w:tcPr>
            <w:tcW w:w="4559" w:type="dxa"/>
            <w:tcBorders>
              <w:left w:val="double" w:sz="4" w:space="0" w:color="auto"/>
              <w:bottom w:val="double" w:sz="4" w:space="0" w:color="auto"/>
            </w:tcBorders>
            <w:shd w:val="clear" w:color="auto" w:fill="FFFFFF" w:themeFill="background1"/>
          </w:tcPr>
          <w:p w14:paraId="7C2CFFCC"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In the context of 5G, convergence could become an issue with advances in Release 14</w:t>
            </w:r>
            <w:r w:rsidRPr="00131399">
              <w:rPr>
                <w:rStyle w:val="FootnoteReference"/>
                <w:rFonts w:ascii="Arial" w:hAnsi="Arial" w:cs="Arial"/>
                <w:sz w:val="20"/>
                <w:szCs w:val="20"/>
                <w:lang w:val="en-GB"/>
              </w:rPr>
              <w:footnoteReference w:id="1"/>
            </w:r>
            <w:r w:rsidRPr="00131399">
              <w:rPr>
                <w:rFonts w:ascii="Arial" w:hAnsi="Arial" w:cs="Arial"/>
                <w:sz w:val="20"/>
                <w:szCs w:val="20"/>
                <w:lang w:val="en-GB"/>
              </w:rPr>
              <w:t xml:space="preserve">  principally allowing improved support for national TV services to both mobile devices and stationary TV sets over </w:t>
            </w:r>
            <w:proofErr w:type="spellStart"/>
            <w:r w:rsidRPr="00131399">
              <w:rPr>
                <w:rFonts w:ascii="Arial" w:hAnsi="Arial" w:cs="Arial"/>
                <w:sz w:val="20"/>
                <w:szCs w:val="20"/>
                <w:lang w:val="en-GB"/>
              </w:rPr>
              <w:t>eMBMS</w:t>
            </w:r>
            <w:proofErr w:type="spellEnd"/>
            <w:r w:rsidRPr="00131399">
              <w:rPr>
                <w:rFonts w:ascii="Arial" w:hAnsi="Arial" w:cs="Arial"/>
                <w:sz w:val="20"/>
                <w:szCs w:val="20"/>
                <w:lang w:val="en-GB"/>
              </w:rPr>
              <w:t xml:space="preserve"> (enhanced multimedia broadcast and multicast system over LTE) and unicast. Beyond that, broadcasters are demanding access to 5G under a must carry rule to deliver broadcast signals.</w:t>
            </w:r>
          </w:p>
          <w:p w14:paraId="655E2520" w14:textId="77777777" w:rsidR="005B30D8" w:rsidRPr="00131399" w:rsidRDefault="005B30D8" w:rsidP="00BC0E65">
            <w:pPr>
              <w:jc w:val="left"/>
              <w:rPr>
                <w:rFonts w:ascii="Arial" w:hAnsi="Arial" w:cs="Arial"/>
                <w:sz w:val="20"/>
                <w:szCs w:val="20"/>
                <w:lang w:val="en-GB"/>
              </w:rPr>
            </w:pPr>
          </w:p>
        </w:tc>
        <w:tc>
          <w:tcPr>
            <w:tcW w:w="4110" w:type="dxa"/>
            <w:tcBorders>
              <w:bottom w:val="double" w:sz="4" w:space="0" w:color="auto"/>
            </w:tcBorders>
            <w:shd w:val="clear" w:color="auto" w:fill="FFFFFF" w:themeFill="background1"/>
          </w:tcPr>
          <w:p w14:paraId="67C32BBE" w14:textId="77777777" w:rsidR="005B30D8" w:rsidRPr="00131399" w:rsidRDefault="005B30D8" w:rsidP="00BC0E65">
            <w:pPr>
              <w:jc w:val="left"/>
              <w:rPr>
                <w:rFonts w:ascii="Arial" w:hAnsi="Arial" w:cs="Arial"/>
                <w:sz w:val="20"/>
                <w:szCs w:val="20"/>
                <w:lang w:val="en-GB"/>
              </w:rPr>
            </w:pPr>
            <w:r w:rsidRPr="00131399">
              <w:rPr>
                <w:rFonts w:ascii="Arial" w:hAnsi="Arial" w:cs="Arial"/>
                <w:sz w:val="20"/>
                <w:szCs w:val="20"/>
                <w:lang w:val="en-GB"/>
              </w:rPr>
              <w:t xml:space="preserve">Concerning convergence and the request for must carry rules via 5G, BEREC should closely follow the development of both the telecoms and the media sector. As 5G could become the mobile multi-purpose technology of the next ten years it is of interest to attract as many </w:t>
            </w:r>
            <w:proofErr w:type="gramStart"/>
            <w:r w:rsidRPr="00131399">
              <w:rPr>
                <w:rFonts w:ascii="Arial" w:hAnsi="Arial" w:cs="Arial"/>
                <w:sz w:val="20"/>
                <w:szCs w:val="20"/>
                <w:lang w:val="en-GB"/>
              </w:rPr>
              <w:t>user</w:t>
            </w:r>
            <w:proofErr w:type="gramEnd"/>
            <w:r w:rsidRPr="00131399">
              <w:rPr>
                <w:rFonts w:ascii="Arial" w:hAnsi="Arial" w:cs="Arial"/>
                <w:sz w:val="20"/>
                <w:szCs w:val="20"/>
                <w:lang w:val="en-GB"/>
              </w:rPr>
              <w:t xml:space="preserve"> as possible to 5G. On the other hand, obligations like must carry rules have a strong impact on the market and need strict examination prior to any regulatory action.</w:t>
            </w:r>
          </w:p>
          <w:p w14:paraId="4572002C" w14:textId="77777777" w:rsidR="005B30D8" w:rsidRPr="00131399" w:rsidRDefault="005B30D8" w:rsidP="00BC0E65">
            <w:pPr>
              <w:jc w:val="left"/>
              <w:rPr>
                <w:rFonts w:ascii="Arial" w:hAnsi="Arial" w:cs="Arial"/>
                <w:sz w:val="20"/>
                <w:szCs w:val="20"/>
                <w:lang w:val="en-GB"/>
              </w:rPr>
            </w:pPr>
          </w:p>
        </w:tc>
        <w:tc>
          <w:tcPr>
            <w:tcW w:w="4110" w:type="dxa"/>
            <w:tcBorders>
              <w:bottom w:val="double" w:sz="4" w:space="0" w:color="auto"/>
            </w:tcBorders>
            <w:shd w:val="clear" w:color="auto" w:fill="FFFFFF" w:themeFill="background1"/>
          </w:tcPr>
          <w:p w14:paraId="61EEBEDD" w14:textId="77777777" w:rsidR="005B30D8" w:rsidRPr="00131399" w:rsidRDefault="005B30D8" w:rsidP="00BC0E65">
            <w:pPr>
              <w:jc w:val="left"/>
              <w:rPr>
                <w:rFonts w:ascii="Arial" w:hAnsi="Arial" w:cs="Arial"/>
                <w:sz w:val="20"/>
                <w:szCs w:val="20"/>
                <w:lang w:val="en-GB"/>
              </w:rPr>
            </w:pPr>
          </w:p>
        </w:tc>
      </w:tr>
    </w:tbl>
    <w:p w14:paraId="07479D84" w14:textId="77777777" w:rsidR="00473F94" w:rsidRPr="00131399" w:rsidRDefault="00473F94">
      <w:pPr>
        <w:rPr>
          <w:rFonts w:ascii="Arial" w:hAnsi="Arial" w:cs="Arial"/>
          <w:sz w:val="20"/>
          <w:szCs w:val="20"/>
          <w:lang w:val="en-GB"/>
        </w:rPr>
      </w:pPr>
    </w:p>
    <w:sectPr w:rsidR="00473F94" w:rsidRPr="00131399" w:rsidSect="00131399">
      <w:headerReference w:type="default" r:id="rId8"/>
      <w:footerReference w:type="default" r:id="rId9"/>
      <w:head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8ABE4" w14:textId="77777777" w:rsidR="00014347" w:rsidRDefault="00014347" w:rsidP="00002ACC">
      <w:pPr>
        <w:spacing w:after="0" w:line="240" w:lineRule="auto"/>
      </w:pPr>
      <w:r>
        <w:separator/>
      </w:r>
    </w:p>
  </w:endnote>
  <w:endnote w:type="continuationSeparator" w:id="0">
    <w:p w14:paraId="6C4DEC8F" w14:textId="77777777" w:rsidR="00014347" w:rsidRDefault="00014347" w:rsidP="00002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759047"/>
      <w:docPartObj>
        <w:docPartGallery w:val="Page Numbers (Bottom of Page)"/>
        <w:docPartUnique/>
      </w:docPartObj>
    </w:sdtPr>
    <w:sdtEndPr>
      <w:rPr>
        <w:rFonts w:ascii="Arial" w:hAnsi="Arial" w:cs="Arial"/>
        <w:noProof/>
        <w:color w:val="21409A"/>
        <w:sz w:val="22"/>
      </w:rPr>
    </w:sdtEndPr>
    <w:sdtContent>
      <w:p w14:paraId="7A022B17" w14:textId="7D11D159" w:rsidR="00131399" w:rsidRPr="00131399" w:rsidRDefault="00131399">
        <w:pPr>
          <w:pStyle w:val="Footer"/>
          <w:jc w:val="center"/>
          <w:rPr>
            <w:rFonts w:ascii="Arial" w:hAnsi="Arial" w:cs="Arial"/>
            <w:color w:val="21409A"/>
            <w:sz w:val="22"/>
          </w:rPr>
        </w:pPr>
        <w:r w:rsidRPr="00131399">
          <w:rPr>
            <w:rFonts w:ascii="Arial" w:hAnsi="Arial" w:cs="Arial"/>
            <w:color w:val="21409A"/>
            <w:sz w:val="22"/>
          </w:rPr>
          <w:fldChar w:fldCharType="begin"/>
        </w:r>
        <w:r w:rsidRPr="00131399">
          <w:rPr>
            <w:rFonts w:ascii="Arial" w:hAnsi="Arial" w:cs="Arial"/>
            <w:color w:val="21409A"/>
            <w:sz w:val="22"/>
          </w:rPr>
          <w:instrText xml:space="preserve"> PAGE   \* MERGEFORMAT </w:instrText>
        </w:r>
        <w:r w:rsidRPr="00131399">
          <w:rPr>
            <w:rFonts w:ascii="Arial" w:hAnsi="Arial" w:cs="Arial"/>
            <w:color w:val="21409A"/>
            <w:sz w:val="22"/>
          </w:rPr>
          <w:fldChar w:fldCharType="separate"/>
        </w:r>
        <w:r>
          <w:rPr>
            <w:rFonts w:ascii="Arial" w:hAnsi="Arial" w:cs="Arial"/>
            <w:noProof/>
            <w:color w:val="21409A"/>
            <w:sz w:val="22"/>
          </w:rPr>
          <w:t>2</w:t>
        </w:r>
        <w:r w:rsidRPr="00131399">
          <w:rPr>
            <w:rFonts w:ascii="Arial" w:hAnsi="Arial" w:cs="Arial"/>
            <w:noProof/>
            <w:color w:val="21409A"/>
            <w:sz w:val="22"/>
          </w:rPr>
          <w:fldChar w:fldCharType="end"/>
        </w:r>
      </w:p>
    </w:sdtContent>
  </w:sdt>
  <w:p w14:paraId="6DC5001F" w14:textId="77777777" w:rsidR="00131399" w:rsidRDefault="0013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8359E" w14:textId="77777777" w:rsidR="00014347" w:rsidRDefault="00014347" w:rsidP="00002ACC">
      <w:pPr>
        <w:spacing w:after="0" w:line="240" w:lineRule="auto"/>
      </w:pPr>
      <w:r>
        <w:separator/>
      </w:r>
    </w:p>
  </w:footnote>
  <w:footnote w:type="continuationSeparator" w:id="0">
    <w:p w14:paraId="282782E1" w14:textId="77777777" w:rsidR="00014347" w:rsidRDefault="00014347" w:rsidP="00002ACC">
      <w:pPr>
        <w:spacing w:after="0" w:line="240" w:lineRule="auto"/>
      </w:pPr>
      <w:r>
        <w:continuationSeparator/>
      </w:r>
    </w:p>
  </w:footnote>
  <w:footnote w:id="1">
    <w:p w14:paraId="41A7FBF9" w14:textId="77777777" w:rsidR="005B30D8" w:rsidRPr="00131399" w:rsidRDefault="005B30D8" w:rsidP="00002ACC">
      <w:pPr>
        <w:pStyle w:val="FootnoteText"/>
        <w:rPr>
          <w:rFonts w:ascii="Arial" w:hAnsi="Arial" w:cs="Arial"/>
          <w:lang w:val="en-GB"/>
        </w:rPr>
      </w:pPr>
      <w:r w:rsidRPr="00131399">
        <w:rPr>
          <w:rStyle w:val="FootnoteReference"/>
          <w:rFonts w:ascii="Arial" w:hAnsi="Arial" w:cs="Arial"/>
        </w:rPr>
        <w:footnoteRef/>
      </w:r>
      <w:r w:rsidRPr="00131399">
        <w:rPr>
          <w:rFonts w:ascii="Arial" w:hAnsi="Arial" w:cs="Arial"/>
          <w:lang w:val="en-GB"/>
        </w:rPr>
        <w:t xml:space="preserve"> </w:t>
      </w:r>
      <w:r w:rsidRPr="00131399">
        <w:rPr>
          <w:rFonts w:ascii="Arial" w:hAnsi="Arial" w:cs="Arial"/>
          <w:color w:val="444444"/>
          <w:szCs w:val="18"/>
          <w:shd w:val="clear" w:color="auto" w:fill="FFFFFF"/>
          <w:lang w:val="en-GB"/>
        </w:rPr>
        <w:t xml:space="preserve">From </w:t>
      </w:r>
      <w:hyperlink r:id="rId1" w:history="1">
        <w:r w:rsidRPr="00131399">
          <w:rPr>
            <w:rStyle w:val="Hyperlink"/>
            <w:rFonts w:ascii="Arial" w:hAnsi="Arial" w:cs="Arial"/>
            <w:szCs w:val="18"/>
            <w:shd w:val="clear" w:color="auto" w:fill="FFFFFF"/>
            <w:lang w:val="en-GB"/>
          </w:rPr>
          <w:t>https://www.3gpp.org/news-events/1905-embms_r14</w:t>
        </w:r>
      </w:hyperlink>
      <w:r w:rsidRPr="00131399">
        <w:rPr>
          <w:rFonts w:ascii="Arial" w:hAnsi="Arial" w:cs="Arial"/>
          <w:color w:val="444444"/>
          <w:szCs w:val="18"/>
          <w:shd w:val="clear" w:color="auto" w:fill="FFFFFF"/>
          <w:lang w:val="en-GB"/>
        </w:rPr>
        <w:t>, 15.04.2019.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3025F" w14:textId="2A9B75E7" w:rsidR="00131399" w:rsidRDefault="00131399">
    <w:pPr>
      <w:pStyle w:val="Header"/>
    </w:pPr>
    <w:r>
      <w:rPr>
        <w:noProof/>
        <w:lang w:val="en-US"/>
      </w:rPr>
      <w:drawing>
        <wp:inline distT="0" distB="0" distL="0" distR="0" wp14:anchorId="2906F649" wp14:editId="68FD49A4">
          <wp:extent cx="1095375" cy="44924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EC_logoshort-rgb-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3050" cy="45649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B90C0" w14:textId="3ED68405" w:rsidR="00131399" w:rsidRDefault="00131399">
    <w:pPr>
      <w:pStyle w:val="Header"/>
    </w:pPr>
    <w:r>
      <w:rPr>
        <w:noProof/>
        <w:lang w:val="en-US"/>
      </w:rPr>
      <w:drawing>
        <wp:inline distT="0" distB="0" distL="0" distR="0" wp14:anchorId="46938005" wp14:editId="3D6CD92D">
          <wp:extent cx="1600200" cy="7110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EC_logo-rgb-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473" cy="718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921"/>
    <w:multiLevelType w:val="hybridMultilevel"/>
    <w:tmpl w:val="FF7861C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8F753B"/>
    <w:multiLevelType w:val="hybridMultilevel"/>
    <w:tmpl w:val="D76ABD1A"/>
    <w:lvl w:ilvl="0" w:tplc="D568A25A">
      <w:start w:val="1"/>
      <w:numFmt w:val="bullet"/>
      <w:pStyle w:val="ListParagraph"/>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40304D0"/>
    <w:multiLevelType w:val="hybridMultilevel"/>
    <w:tmpl w:val="E0AA61D4"/>
    <w:lvl w:ilvl="0" w:tplc="F6085936">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ACC"/>
    <w:rsid w:val="00002ACC"/>
    <w:rsid w:val="00014347"/>
    <w:rsid w:val="000517F2"/>
    <w:rsid w:val="00073B4A"/>
    <w:rsid w:val="000756E9"/>
    <w:rsid w:val="00076DF6"/>
    <w:rsid w:val="000F6EE9"/>
    <w:rsid w:val="0010695D"/>
    <w:rsid w:val="00116448"/>
    <w:rsid w:val="00131399"/>
    <w:rsid w:val="00143555"/>
    <w:rsid w:val="001646DA"/>
    <w:rsid w:val="00164793"/>
    <w:rsid w:val="0024456B"/>
    <w:rsid w:val="002803F2"/>
    <w:rsid w:val="002C1A4B"/>
    <w:rsid w:val="00321264"/>
    <w:rsid w:val="00325F90"/>
    <w:rsid w:val="00356657"/>
    <w:rsid w:val="00473628"/>
    <w:rsid w:val="00473F94"/>
    <w:rsid w:val="004C4FD4"/>
    <w:rsid w:val="00562418"/>
    <w:rsid w:val="005862F0"/>
    <w:rsid w:val="005B30D8"/>
    <w:rsid w:val="005E481D"/>
    <w:rsid w:val="00683943"/>
    <w:rsid w:val="006B64F2"/>
    <w:rsid w:val="007776B9"/>
    <w:rsid w:val="007846B0"/>
    <w:rsid w:val="007C165E"/>
    <w:rsid w:val="007E4F9C"/>
    <w:rsid w:val="007F34D6"/>
    <w:rsid w:val="007F5511"/>
    <w:rsid w:val="00861316"/>
    <w:rsid w:val="00876FA7"/>
    <w:rsid w:val="008919DB"/>
    <w:rsid w:val="00913CAF"/>
    <w:rsid w:val="00915196"/>
    <w:rsid w:val="00A441D7"/>
    <w:rsid w:val="00A614F9"/>
    <w:rsid w:val="00A75485"/>
    <w:rsid w:val="00BA5744"/>
    <w:rsid w:val="00C2348E"/>
    <w:rsid w:val="00C3167F"/>
    <w:rsid w:val="00CE4F6C"/>
    <w:rsid w:val="00CE538A"/>
    <w:rsid w:val="00CF0175"/>
    <w:rsid w:val="00DA6E26"/>
    <w:rsid w:val="00EB22A2"/>
    <w:rsid w:val="00F443B6"/>
    <w:rsid w:val="00F810FC"/>
    <w:rsid w:val="00FA0E9E"/>
    <w:rsid w:val="00FA4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41188"/>
  <w15:docId w15:val="{C86BFBE4-2896-47ED-9528-47D007E5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ACC"/>
    <w:pPr>
      <w:spacing w:after="280" w:line="280" w:lineRule="atLeast"/>
      <w:jc w:val="both"/>
    </w:pPr>
    <w:rPr>
      <w:sz w:val="23"/>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002ACC"/>
    <w:pPr>
      <w:spacing w:after="0" w:line="200" w:lineRule="atLeast"/>
    </w:pPr>
    <w:rPr>
      <w:sz w:val="18"/>
      <w:szCs w:val="20"/>
    </w:rPr>
  </w:style>
  <w:style w:type="character" w:customStyle="1" w:styleId="FootnoteTextChar">
    <w:name w:val="Footnote Text Char"/>
    <w:basedOn w:val="DefaultParagraphFont"/>
    <w:link w:val="FootnoteText"/>
    <w:uiPriority w:val="99"/>
    <w:rsid w:val="00002ACC"/>
    <w:rPr>
      <w:sz w:val="18"/>
      <w:szCs w:val="20"/>
      <w:lang w:val="de-AT"/>
    </w:rPr>
  </w:style>
  <w:style w:type="paragraph" w:styleId="ListParagraph">
    <w:name w:val="List Paragraph"/>
    <w:basedOn w:val="Normal"/>
    <w:link w:val="ListParagraphChar"/>
    <w:uiPriority w:val="34"/>
    <w:qFormat/>
    <w:rsid w:val="00002ACC"/>
    <w:pPr>
      <w:numPr>
        <w:numId w:val="1"/>
      </w:numPr>
      <w:contextualSpacing/>
    </w:pPr>
  </w:style>
  <w:style w:type="table" w:styleId="TableGrid">
    <w:name w:val="Table Grid"/>
    <w:basedOn w:val="TableNormal"/>
    <w:uiPriority w:val="59"/>
    <w:rsid w:val="00002ACC"/>
    <w:pPr>
      <w:spacing w:after="0" w:line="240" w:lineRule="auto"/>
    </w:pPr>
    <w:rPr>
      <w:sz w:val="18"/>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2ACC"/>
    <w:rPr>
      <w:color w:val="0563C1" w:themeColor="hyperlink"/>
      <w:u w:val="single"/>
    </w:rPr>
  </w:style>
  <w:style w:type="character" w:customStyle="1" w:styleId="ListParagraphChar">
    <w:name w:val="List Paragraph Char"/>
    <w:basedOn w:val="DefaultParagraphFont"/>
    <w:link w:val="ListParagraph"/>
    <w:uiPriority w:val="34"/>
    <w:rsid w:val="00002ACC"/>
    <w:rPr>
      <w:sz w:val="23"/>
      <w:lang w:val="de-AT"/>
    </w:rPr>
  </w:style>
  <w:style w:type="character" w:styleId="FootnoteReference">
    <w:name w:val="footnote reference"/>
    <w:basedOn w:val="DefaultParagraphFont"/>
    <w:uiPriority w:val="99"/>
    <w:semiHidden/>
    <w:unhideWhenUsed/>
    <w:rsid w:val="00002ACC"/>
    <w:rPr>
      <w:vertAlign w:val="superscript"/>
    </w:rPr>
  </w:style>
  <w:style w:type="character" w:styleId="CommentReference">
    <w:name w:val="annotation reference"/>
    <w:basedOn w:val="DefaultParagraphFont"/>
    <w:uiPriority w:val="99"/>
    <w:semiHidden/>
    <w:unhideWhenUsed/>
    <w:rsid w:val="00002ACC"/>
    <w:rPr>
      <w:sz w:val="16"/>
      <w:szCs w:val="16"/>
    </w:rPr>
  </w:style>
  <w:style w:type="paragraph" w:styleId="CommentText">
    <w:name w:val="annotation text"/>
    <w:basedOn w:val="Normal"/>
    <w:link w:val="CommentTextChar"/>
    <w:uiPriority w:val="99"/>
    <w:semiHidden/>
    <w:unhideWhenUsed/>
    <w:rsid w:val="00002ACC"/>
    <w:pPr>
      <w:spacing w:line="240" w:lineRule="auto"/>
    </w:pPr>
    <w:rPr>
      <w:sz w:val="20"/>
      <w:szCs w:val="20"/>
    </w:rPr>
  </w:style>
  <w:style w:type="character" w:customStyle="1" w:styleId="CommentTextChar">
    <w:name w:val="Comment Text Char"/>
    <w:basedOn w:val="DefaultParagraphFont"/>
    <w:link w:val="CommentText"/>
    <w:uiPriority w:val="99"/>
    <w:semiHidden/>
    <w:rsid w:val="00002ACC"/>
    <w:rPr>
      <w:sz w:val="20"/>
      <w:szCs w:val="20"/>
      <w:lang w:val="de-AT"/>
    </w:rPr>
  </w:style>
  <w:style w:type="paragraph" w:styleId="BalloonText">
    <w:name w:val="Balloon Text"/>
    <w:basedOn w:val="Normal"/>
    <w:link w:val="BalloonTextChar"/>
    <w:uiPriority w:val="99"/>
    <w:semiHidden/>
    <w:unhideWhenUsed/>
    <w:rsid w:val="00002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ACC"/>
    <w:rPr>
      <w:rFonts w:ascii="Segoe UI" w:hAnsi="Segoe UI" w:cs="Segoe UI"/>
      <w:sz w:val="18"/>
      <w:szCs w:val="18"/>
      <w:lang w:val="de-AT"/>
    </w:rPr>
  </w:style>
  <w:style w:type="paragraph" w:styleId="CommentSubject">
    <w:name w:val="annotation subject"/>
    <w:basedOn w:val="CommentText"/>
    <w:next w:val="CommentText"/>
    <w:link w:val="CommentSubjectChar"/>
    <w:uiPriority w:val="99"/>
    <w:semiHidden/>
    <w:unhideWhenUsed/>
    <w:rsid w:val="007E4F9C"/>
    <w:rPr>
      <w:b/>
      <w:bCs/>
    </w:rPr>
  </w:style>
  <w:style w:type="character" w:customStyle="1" w:styleId="CommentSubjectChar">
    <w:name w:val="Comment Subject Char"/>
    <w:basedOn w:val="CommentTextChar"/>
    <w:link w:val="CommentSubject"/>
    <w:uiPriority w:val="99"/>
    <w:semiHidden/>
    <w:rsid w:val="007E4F9C"/>
    <w:rPr>
      <w:b/>
      <w:bCs/>
      <w:sz w:val="20"/>
      <w:szCs w:val="20"/>
      <w:lang w:val="de-AT"/>
    </w:rPr>
  </w:style>
  <w:style w:type="paragraph" w:styleId="Header">
    <w:name w:val="header"/>
    <w:basedOn w:val="Normal"/>
    <w:link w:val="HeaderChar"/>
    <w:uiPriority w:val="99"/>
    <w:unhideWhenUsed/>
    <w:rsid w:val="0013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399"/>
    <w:rPr>
      <w:sz w:val="23"/>
      <w:lang w:val="de-AT"/>
    </w:rPr>
  </w:style>
  <w:style w:type="paragraph" w:styleId="Footer">
    <w:name w:val="footer"/>
    <w:basedOn w:val="Normal"/>
    <w:link w:val="FooterChar"/>
    <w:uiPriority w:val="99"/>
    <w:unhideWhenUsed/>
    <w:rsid w:val="0013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99"/>
    <w:rPr>
      <w:sz w:val="23"/>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3gpp.org/news-events/1905-embms_r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A848B-D476-48E0-B28D-0673900B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2940</Words>
  <Characters>16760</Characters>
  <Application>Microsoft Office Word</Application>
  <DocSecurity>4</DocSecurity>
  <Lines>139</Lines>
  <Paragraphs>39</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PFT Working Group’s preliminary views on the list of potential regulatory aspects of 5G, which could merit from further investigation by BEREC</vt:lpstr>
      <vt: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PFT Working Group’s preliminary views on the list of potential regulatory aspects of 5G, which could merit from further investigation by BEREC</dc:title>
  <dc:creator>BEREC</dc:creator>
  <cp:lastModifiedBy>pierrejean.verrando</cp:lastModifiedBy>
  <cp:revision>2</cp:revision>
  <cp:lastPrinted>2019-06-26T07:32:00Z</cp:lastPrinted>
  <dcterms:created xsi:type="dcterms:W3CDTF">2019-07-22T09:59:00Z</dcterms:created>
  <dcterms:modified xsi:type="dcterms:W3CDTF">2019-07-22T09:59:00Z</dcterms:modified>
</cp:coreProperties>
</file>